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app.xml" ContentType="application/vnd.openxmlformats-officedocument.extended-properties+xml"/>
  <Override PartName="/docProps/custom.xml" ContentType="application/vnd.openxmlformats-officedocument.custom-properties+xml"/>
  <Override PartName="/docProps/core.xml" ContentType="application/vnd.openxmlformats-package.core-properties+xml"/>
  <Override PartName="/word/header3.xml" ContentType="application/vnd.openxmlformats-officedocument.wordprocessingml.header+xml"/>
  <Override PartName="/word/footer1.xml" ContentType="application/vnd.openxmlformats-officedocument.wordprocessingml.footer+xml"/>
  <Override PartName="/word/footnotes.xml" ContentType="application/vnd.openxmlformats-officedocument.wordprocessingml.footnotes+xml"/>
  <Override PartName="/word/_rels/document.xml.rels" ContentType="application/vnd.openxmlformats-package.relationships+xml"/>
  <Override PartName="/word/header2.xml" ContentType="application/vnd.openxmlformats-officedocument.wordprocessingml.header+xml"/>
  <Override PartName="/word/header1.xml" ContentType="application/vnd.openxmlformats-officedocument.wordprocessingml.header+xml"/>
  <Override PartName="/word/numbering.xml" ContentType="application/vnd.openxmlformats-officedocument.wordprocessingml.numbering+xml"/>
  <Override PartName="/word/fontTable.xml" ContentType="application/vnd.openxmlformats-officedocument.wordprocessingml.fontTable+xml"/>
  <Override PartName="/word/document.xml" ContentType="application/vnd.openxmlformats-officedocument.wordprocessingml.document.main+xml"/>
  <Override PartName="/word/footer3.xml" ContentType="application/vnd.openxmlformats-officedocument.wordprocessingml.footer+xml"/>
  <Override PartName="/word/settings.xml" ContentType="application/vnd.openxmlformats-officedocument.wordprocessingml.settings+xml"/>
  <Override PartName="/word/theme/theme1.xml" ContentType="application/vnd.openxmlformats-officedocument.theme+xml"/>
  <Override PartName="/word/footer2.xml" ContentType="application/vnd.openxmlformats-officedocument.wordprocessingml.footer+xml"/>
  <Override PartName="/word/header4.xml" ContentType="application/vnd.openxmlformats-officedocument.wordprocessingml.header+xml"/>
  <Override PartName="/word/styles.xml" ContentType="application/vnd.openxmlformats-officedocument.wordprocessingml.styles+xml"/>
  <Override PartName="/customXml/_rels/item1.xml.rels" ContentType="application/vnd.openxmlformats-package.relationships+xml"/>
  <Override PartName="/customXml/_rels/item4.xml.rels" ContentType="application/vnd.openxmlformats-package.relationships+xml"/>
  <Override PartName="/customXml/_rels/item3.xml.rels" ContentType="application/vnd.openxmlformats-package.relationships+xml"/>
  <Override PartName="/customXml/_rels/item2.xml.rels" ContentType="application/vnd.openxmlformats-package.relationships+xml"/>
  <Override PartName="/customXml/itemProps3.xml" ContentType="application/vnd.openxmlformats-officedocument.customXmlProperties+xml"/>
  <Override PartName="/customXml/item3.xml" ContentType="application/xml"/>
  <Override PartName="/customXml/item4.xml" ContentType="application/xml"/>
  <Override PartName="/customXml/itemProps1.xml" ContentType="application/vnd.openxmlformats-officedocument.customXmlProperties+xml"/>
  <Override PartName="/customXml/itemProps4.xml" ContentType="application/vnd.openxmlformats-officedocument.customXmlProperties+xml"/>
  <Override PartName="/customXml/item1.xml" ContentType="application/xml"/>
  <Override PartName="/customXml/item2.xml" ContentType="application/xml"/>
  <Override PartName="/customXml/itemProps2.xml" ContentType="application/vnd.openxmlformats-officedocument.customXml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hd w:val="clear" w:color="auto" w:fill="FFFFFF"/>
        <w:tabs>
          <w:tab w:val="clear" w:pos="709"/>
          <w:tab w:val="left" w:pos="6926" w:leader="none"/>
        </w:tabs>
        <w:jc w:val="center"/>
        <w:rPr>
          <w:b/>
          <w:sz w:val="24"/>
          <w:szCs w:val="24"/>
        </w:rPr>
      </w:pPr>
      <w:r>
        <w:rPr>
          <w:b/>
          <w:bCs/>
          <w:sz w:val="24"/>
          <w:szCs w:val="24"/>
        </w:rPr>
        <w:t>Договор поставки</w:t>
      </w:r>
    </w:p>
    <w:p>
      <w:pPr>
        <w:pStyle w:val="Normal"/>
        <w:shd w:val="clear" w:color="auto" w:fill="FFFFFF"/>
        <w:tabs>
          <w:tab w:val="clear" w:pos="709"/>
          <w:tab w:val="right" w:pos="9639" w:leader="none"/>
        </w:tabs>
        <w:jc w:val="right"/>
        <w:rPr>
          <w:bCs/>
          <w:sz w:val="24"/>
          <w:szCs w:val="24"/>
        </w:rPr>
      </w:pPr>
      <w:r>
        <w:rPr>
          <w:bCs/>
          <w:sz w:val="24"/>
          <w:szCs w:val="24"/>
        </w:rPr>
        <w:t>г. _________</w:t>
        <w:tab/>
        <w:t xml:space="preserve">   «___» _________ 20__ г.</w:t>
      </w:r>
    </w:p>
    <w:p>
      <w:pPr>
        <w:pStyle w:val="Normal"/>
        <w:shd w:val="clear" w:color="auto" w:fill="FFFFFF"/>
        <w:tabs>
          <w:tab w:val="clear" w:pos="709"/>
          <w:tab w:val="right" w:pos="9639" w:leader="none"/>
        </w:tabs>
        <w:jc w:val="right"/>
        <w:rPr>
          <w:bCs/>
          <w:sz w:val="24"/>
          <w:szCs w:val="24"/>
        </w:rPr>
      </w:pPr>
      <w:r>
        <w:rPr>
          <w:bCs/>
          <w:sz w:val="24"/>
          <w:szCs w:val="24"/>
        </w:rPr>
      </w:r>
    </w:p>
    <w:p>
      <w:pPr>
        <w:pStyle w:val="Normal"/>
        <w:ind w:firstLine="709"/>
        <w:jc w:val="both"/>
        <w:rPr>
          <w:spacing w:val="10"/>
          <w:sz w:val="24"/>
          <w:szCs w:val="24"/>
        </w:rPr>
      </w:pPr>
      <w:r>
        <w:rPr>
          <w:b/>
          <w:sz w:val="24"/>
          <w:szCs w:val="24"/>
        </w:rPr>
        <w:t xml:space="preserve">Публичное акционерное общество «Федеральная гидрогенерирующая компания – РусГидро» </w:t>
      </w:r>
      <w:r>
        <w:rPr>
          <w:sz w:val="24"/>
          <w:szCs w:val="24"/>
        </w:rPr>
        <w:t>(ПАО «РусГидро»)</w:t>
      </w:r>
      <w:r>
        <w:rPr>
          <w:spacing w:val="2"/>
          <w:sz w:val="24"/>
          <w:szCs w:val="24"/>
        </w:rPr>
        <w:t xml:space="preserve">, (далее – </w:t>
      </w:r>
      <w:r>
        <w:rPr>
          <w:sz w:val="24"/>
          <w:szCs w:val="24"/>
        </w:rPr>
        <w:t>«Покупатель»), в лице директора Филиала ПАО «РусГидро» - «Камская ГЭС» Двинянинова Сергея Валерьевича</w:t>
      </w:r>
      <w:r>
        <w:rPr>
          <w:spacing w:val="4"/>
          <w:sz w:val="24"/>
          <w:szCs w:val="24"/>
        </w:rPr>
        <w:t>, действующего на основании _____________________</w:t>
      </w:r>
      <w:bookmarkStart w:id="0" w:name="_GoBack"/>
      <w:bookmarkEnd w:id="0"/>
      <w:r>
        <w:rPr>
          <w:spacing w:val="4"/>
          <w:sz w:val="24"/>
          <w:szCs w:val="24"/>
        </w:rPr>
        <w:t>___________________, с одной стороны, и</w:t>
      </w:r>
      <w:r>
        <w:rPr>
          <w:spacing w:val="10"/>
          <w:sz w:val="24"/>
          <w:szCs w:val="24"/>
        </w:rPr>
        <w:t xml:space="preserve"> </w:t>
      </w:r>
    </w:p>
    <w:p>
      <w:pPr>
        <w:pStyle w:val="Normal"/>
        <w:ind w:firstLine="709"/>
        <w:jc w:val="both"/>
        <w:rPr>
          <w:sz w:val="24"/>
          <w:szCs w:val="24"/>
        </w:rPr>
      </w:pPr>
      <w:r>
        <w:rPr>
          <w:b/>
          <w:spacing w:val="10"/>
          <w:sz w:val="24"/>
          <w:szCs w:val="24"/>
        </w:rPr>
        <w:t>_________________________________________________</w:t>
      </w:r>
      <w:r>
        <w:rPr>
          <w:bCs/>
          <w:sz w:val="24"/>
          <w:szCs w:val="24"/>
        </w:rPr>
        <w:t xml:space="preserve"> </w:t>
      </w:r>
      <w:r>
        <w:rPr>
          <w:sz w:val="24"/>
          <w:szCs w:val="24"/>
        </w:rPr>
        <w:t xml:space="preserve">(далее – «Поставщик»), в лице _________________________, действующего на основании ___________________, с другой стороны, </w:t>
      </w:r>
    </w:p>
    <w:p>
      <w:pPr>
        <w:pStyle w:val="Normal"/>
        <w:ind w:firstLine="709"/>
        <w:jc w:val="both"/>
        <w:rPr>
          <w:sz w:val="24"/>
          <w:szCs w:val="24"/>
        </w:rPr>
      </w:pPr>
      <w:r>
        <w:rPr>
          <w:sz w:val="24"/>
          <w:szCs w:val="24"/>
        </w:rPr>
        <w:t xml:space="preserve">совместно в дальнейшем именуемые «Стороны», а по отдельности – «Сторона», </w:t>
        <w:br/>
      </w:r>
      <w:r>
        <w:rPr>
          <w:sz w:val="24"/>
          <w:szCs w:val="24"/>
          <w:lang w:eastAsia="en-US"/>
        </w:rPr>
        <w:t>по результатам проведенного Покупателем состязательного отбора по лоту № 26-ЭКСП-БПД-2026-КамГЭС и на основании протокола __________ от «___» _________ г. №_______,</w:t>
      </w:r>
    </w:p>
    <w:p>
      <w:pPr>
        <w:pStyle w:val="Normal"/>
        <w:ind w:firstLine="709"/>
        <w:jc w:val="both"/>
        <w:rPr>
          <w:spacing w:val="10"/>
          <w:sz w:val="24"/>
          <w:szCs w:val="24"/>
        </w:rPr>
      </w:pPr>
      <w:r>
        <w:rPr>
          <w:sz w:val="24"/>
          <w:szCs w:val="24"/>
        </w:rPr>
        <w:t>заключили настоящий договор поставки (далее – «Договор») о нижеследующем:</w:t>
      </w:r>
    </w:p>
    <w:p>
      <w:pPr>
        <w:pStyle w:val="Normal"/>
        <w:shd w:val="clear" w:color="auto" w:fill="FFFFFF"/>
        <w:rPr>
          <w:bCs/>
          <w:sz w:val="24"/>
          <w:szCs w:val="24"/>
          <w:lang w:val="x-none"/>
        </w:rPr>
      </w:pPr>
      <w:r>
        <w:rPr>
          <w:bCs/>
          <w:sz w:val="24"/>
          <w:szCs w:val="24"/>
          <w:lang w:val="x-none"/>
        </w:rPr>
      </w:r>
    </w:p>
    <w:p>
      <w:pPr>
        <w:pStyle w:val="Normal"/>
        <w:shd w:val="clear" w:color="auto" w:fill="FFFFFF"/>
        <w:jc w:val="center"/>
        <w:rPr>
          <w:b/>
          <w:bCs/>
          <w:sz w:val="24"/>
          <w:szCs w:val="24"/>
        </w:rPr>
      </w:pPr>
      <w:r>
        <w:rPr>
          <w:b/>
          <w:bCs/>
          <w:sz w:val="24"/>
          <w:szCs w:val="24"/>
        </w:rPr>
        <w:t>Термины и определения</w:t>
      </w:r>
    </w:p>
    <w:p>
      <w:pPr>
        <w:pStyle w:val="Normal"/>
        <w:shd w:val="clear" w:color="auto" w:fill="FFFFFF"/>
        <w:ind w:firstLine="709"/>
        <w:jc w:val="both"/>
        <w:rPr>
          <w:bCs/>
          <w:sz w:val="24"/>
          <w:szCs w:val="24"/>
        </w:rPr>
      </w:pPr>
      <w:r>
        <w:rPr>
          <w:bCs/>
          <w:sz w:val="24"/>
          <w:szCs w:val="24"/>
        </w:rPr>
        <w:t>Термины и определения, приведенные в настоящем разделе, предназначены для однозначного понимания формулировок Договора, и будут иметь по тексту Договора следующие значения, если иное прямо не указано в Договоре:</w:t>
      </w:r>
    </w:p>
    <w:p>
      <w:pPr>
        <w:pStyle w:val="ListParagraph"/>
        <w:shd w:val="clear" w:color="auto" w:fill="FFFFFF"/>
        <w:tabs>
          <w:tab w:val="clear" w:pos="709"/>
          <w:tab w:val="left" w:pos="0" w:leader="none"/>
        </w:tabs>
        <w:ind w:left="0" w:firstLine="709"/>
        <w:jc w:val="both"/>
        <w:textAlignment w:val="baseline"/>
        <w:rPr>
          <w:sz w:val="24"/>
          <w:szCs w:val="24"/>
          <w:lang w:eastAsia="en-US"/>
        </w:rPr>
      </w:pPr>
      <w:r>
        <w:rPr>
          <w:b/>
          <w:sz w:val="24"/>
          <w:szCs w:val="24"/>
          <w:lang w:eastAsia="en-US"/>
        </w:rPr>
        <w:t>«Акт рекламации»</w:t>
      </w:r>
      <w:r>
        <w:rPr>
          <w:sz w:val="24"/>
          <w:szCs w:val="24"/>
          <w:lang w:eastAsia="en-US"/>
        </w:rPr>
        <w:t xml:space="preserve"> – документ, оформляемый по унифицированным формам </w:t>
        <w:br/>
        <w:t>№ ТОРГ-2 «Акт об установленном расхождении по количеству и качеству при приемке товарно-материальных ценностей» и № ТОРГ</w:t>
      </w:r>
      <w:r>
        <w:rPr>
          <w:sz w:val="24"/>
          <w:szCs w:val="24"/>
        </w:rPr>
        <w:t>-</w:t>
      </w:r>
      <w:r>
        <w:rPr>
          <w:sz w:val="24"/>
          <w:szCs w:val="24"/>
          <w:lang w:eastAsia="en-US"/>
        </w:rPr>
        <w:t xml:space="preserve">3 «Акт об установленном расхождении </w:t>
        <w:br/>
        <w:t>по количеству и качеству при приемке импортных товаров», утвержденным постановлением Госкомстата РФ от 25.12.1998 № 132, подписываемый Сторонами при приемке поставленного Товара.</w:t>
      </w:r>
    </w:p>
    <w:p>
      <w:pPr>
        <w:pStyle w:val="ListParagraph"/>
        <w:shd w:val="clear" w:color="auto" w:fill="FFFFFF"/>
        <w:tabs>
          <w:tab w:val="clear" w:pos="709"/>
          <w:tab w:val="left" w:pos="567" w:leader="none"/>
          <w:tab w:val="left" w:pos="1134" w:leader="none"/>
        </w:tabs>
        <w:ind w:left="0" w:firstLine="708"/>
        <w:jc w:val="both"/>
        <w:textAlignment w:val="baseline"/>
        <w:rPr>
          <w:sz w:val="24"/>
          <w:szCs w:val="24"/>
          <w:lang w:eastAsia="en-US"/>
        </w:rPr>
      </w:pPr>
      <w:r>
        <w:rPr>
          <w:b/>
          <w:sz w:val="24"/>
          <w:szCs w:val="24"/>
          <w:lang w:eastAsia="en-US"/>
        </w:rPr>
        <w:t xml:space="preserve"> </w:t>
      </w:r>
      <w:r>
        <w:rPr>
          <w:b/>
          <w:sz w:val="24"/>
          <w:szCs w:val="24"/>
          <w:lang w:eastAsia="en-US"/>
        </w:rPr>
        <w:t>«Гарантийный срок»</w:t>
      </w:r>
      <w:r>
        <w:rPr>
          <w:sz w:val="24"/>
          <w:szCs w:val="24"/>
        </w:rPr>
        <w:t xml:space="preserve"> </w:t>
      </w:r>
      <w:r>
        <w:rPr>
          <w:sz w:val="24"/>
          <w:szCs w:val="24"/>
          <w:lang w:eastAsia="en-US"/>
        </w:rPr>
        <w:t>– период, в течение которого качество поставленного товара должно соответствовать требованиям Договора и Применимого права, и Поставщик обязуется устранять все выявленные Покупателем недостатки, несоответствия и / или дефекты за свой счет. Гарантийный срок, если иное прямо не предусмотрено Договором, распространяется на все составляющие Товара.</w:t>
      </w:r>
    </w:p>
    <w:p>
      <w:pPr>
        <w:pStyle w:val="ListParagraph"/>
        <w:shd w:val="clear" w:color="auto" w:fill="FFFFFF"/>
        <w:tabs>
          <w:tab w:val="clear" w:pos="709"/>
          <w:tab w:val="left" w:pos="0" w:leader="none"/>
        </w:tabs>
        <w:ind w:left="0" w:firstLine="709"/>
        <w:jc w:val="both"/>
        <w:textAlignment w:val="baseline"/>
        <w:rPr>
          <w:sz w:val="24"/>
          <w:szCs w:val="24"/>
          <w:lang w:eastAsia="en-US"/>
        </w:rPr>
      </w:pPr>
      <w:r>
        <w:rPr>
          <w:b/>
          <w:sz w:val="24"/>
          <w:szCs w:val="24"/>
          <w:lang w:eastAsia="en-US"/>
        </w:rPr>
        <w:t>«Договор»</w:t>
      </w:r>
      <w:r>
        <w:rPr>
          <w:sz w:val="24"/>
          <w:szCs w:val="24"/>
          <w:lang w:eastAsia="en-US"/>
        </w:rPr>
        <w:t xml:space="preserve"> – настоящий договор, подписанный Покупателем и Поставщиком, включая все приложения к нему, а также дополнительные соглашения к Договору при условии, что они заключены надлежащим образом, и из них явно следует, что они составляют часть Договора.</w:t>
      </w:r>
    </w:p>
    <w:p>
      <w:pPr>
        <w:pStyle w:val="ListParagraph"/>
        <w:shd w:val="clear" w:color="auto" w:fill="FFFFFF"/>
        <w:tabs>
          <w:tab w:val="clear" w:pos="709"/>
          <w:tab w:val="left" w:pos="0" w:leader="none"/>
        </w:tabs>
        <w:ind w:left="0" w:firstLine="709"/>
        <w:jc w:val="both"/>
        <w:textAlignment w:val="baseline"/>
        <w:rPr>
          <w:sz w:val="24"/>
          <w:szCs w:val="24"/>
          <w:lang w:eastAsia="en-US"/>
        </w:rPr>
      </w:pPr>
      <w:r>
        <w:rPr>
          <w:b/>
          <w:sz w:val="24"/>
          <w:szCs w:val="24"/>
          <w:lang w:eastAsia="en-US"/>
        </w:rPr>
        <w:t>«Коммерческая тайна»</w:t>
      </w:r>
      <w:r>
        <w:rPr>
          <w:sz w:val="24"/>
          <w:szCs w:val="24"/>
          <w:lang w:eastAsia="en-US"/>
        </w:rPr>
        <w:t xml:space="preserve"> – режим конфиденциальности информации, позволяющий </w:t>
        <w:br/>
        <w:t xml:space="preserve">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w:t>
        <w:br/>
        <w:t xml:space="preserve">или получить иную коммерческую выгоду. </w:t>
      </w:r>
    </w:p>
    <w:p>
      <w:pPr>
        <w:pStyle w:val="ListParagraph"/>
        <w:shd w:val="clear" w:color="auto" w:fill="FFFFFF"/>
        <w:tabs>
          <w:tab w:val="clear" w:pos="709"/>
          <w:tab w:val="left" w:pos="0" w:leader="none"/>
        </w:tabs>
        <w:ind w:left="0" w:firstLine="709"/>
        <w:jc w:val="both"/>
        <w:textAlignment w:val="baseline"/>
        <w:rPr>
          <w:b/>
          <w:sz w:val="24"/>
          <w:szCs w:val="24"/>
          <w:lang w:eastAsia="en-US"/>
        </w:rPr>
      </w:pPr>
      <w:r>
        <w:rPr>
          <w:b/>
          <w:sz w:val="24"/>
          <w:szCs w:val="24"/>
          <w:lang w:eastAsia="en-US"/>
        </w:rPr>
        <w:t xml:space="preserve">«Накладная ТОРГ-12» </w:t>
      </w:r>
      <w:r>
        <w:rPr>
          <w:sz w:val="24"/>
          <w:szCs w:val="24"/>
          <w:lang w:eastAsia="en-US"/>
        </w:rPr>
        <w:t>–</w:t>
      </w:r>
      <w:r>
        <w:rPr>
          <w:b/>
          <w:sz w:val="24"/>
          <w:szCs w:val="24"/>
          <w:lang w:eastAsia="en-US"/>
        </w:rPr>
        <w:t xml:space="preserve"> </w:t>
      </w:r>
      <w:r>
        <w:rPr>
          <w:sz w:val="24"/>
          <w:szCs w:val="24"/>
          <w:lang w:eastAsia="en-US"/>
        </w:rPr>
        <w:t xml:space="preserve">документ, оформляемый по унифицированной форме </w:t>
        <w:br/>
        <w:t xml:space="preserve">№ ТОРГ-12 «Товарная накладная», утвержденной постановлением Госкомстата РФ </w:t>
        <w:br/>
        <w:t>от 25.12.1998 № 132, подписываемый Сторонами после завершения приемки Товара по количеству, качеству и комплектности.</w:t>
      </w:r>
    </w:p>
    <w:p>
      <w:pPr>
        <w:pStyle w:val="Normal"/>
        <w:numPr>
          <w:ilvl w:val="0"/>
        </w:numPr>
        <w:suppressAutoHyphens w:val="false"/>
        <w:spacing w:lineRule="auto" w:line="240" w:before="0" w:after="0"/>
        <w:ind w:firstLine="567"/>
        <w:jc w:val="both"/>
        <w:rPr>
          <w:rFonts w:ascii="Times New Roman" w:hAnsi="Times New Roman" w:eastAsia="Times New Roman" w:cs="Times New Roman"/>
          <w:b/>
          <w:sz w:val="28"/>
          <w:szCs w:val="28"/>
          <w:lang w:eastAsia="ru-RU"/>
        </w:rPr>
      </w:pPr>
      <w:r>
        <w:rPr>
          <w:rFonts w:eastAsia="Times New Roman" w:cs="Times New Roman"/>
          <w:b/>
          <w:color w:val="auto"/>
          <w:kern w:val="0"/>
          <w:sz w:val="24"/>
          <w:szCs w:val="24"/>
          <w:lang w:val="ru-RU" w:eastAsia="en-US" w:bidi="ar-SA"/>
        </w:rPr>
        <w:t xml:space="preserve">«Универсальный передаточный документ (УПД)» </w:t>
      </w:r>
      <w:r>
        <w:rPr>
          <w:rFonts w:eastAsia="Times New Roman" w:cs="Times New Roman"/>
          <w:color w:val="auto"/>
          <w:kern w:val="0"/>
          <w:sz w:val="24"/>
          <w:szCs w:val="24"/>
          <w:lang w:val="ru-RU" w:eastAsia="en-US" w:bidi="ar-SA"/>
        </w:rPr>
        <w:t xml:space="preserve">– форма документа, рекомендованная для применения письмом ФНС России от 21.10.2013 </w:t>
        <w:br/>
        <w:t xml:space="preserve">№ ММВ-20-3/96@ (объединяет реквизиты </w:t>
      </w:r>
      <w:hyperlink r:id="rId2">
        <w:r>
          <w:rPr>
            <w:rStyle w:val="Hyperlink"/>
            <w:rFonts w:eastAsia="Times New Roman" w:cs="Times New Roman"/>
            <w:color w:val="auto"/>
            <w:kern w:val="0"/>
            <w:sz w:val="24"/>
            <w:szCs w:val="24"/>
            <w:u w:val="none"/>
            <w:lang w:val="ru-RU" w:eastAsia="en-US" w:bidi="ar-SA"/>
          </w:rPr>
          <w:t>счета-фактуры</w:t>
        </w:r>
      </w:hyperlink>
      <w:r>
        <w:rPr>
          <w:rFonts w:eastAsia="Times New Roman" w:cs="Times New Roman"/>
          <w:color w:val="auto"/>
          <w:kern w:val="0"/>
          <w:sz w:val="24"/>
          <w:szCs w:val="24"/>
          <w:u w:val="none"/>
          <w:lang w:val="ru-RU" w:eastAsia="en-US" w:bidi="ar-SA"/>
        </w:rPr>
        <w:t xml:space="preserve"> и </w:t>
      </w:r>
      <w:hyperlink r:id="rId3">
        <w:r>
          <w:rPr>
            <w:rStyle w:val="Hyperlink"/>
            <w:rFonts w:eastAsia="Times New Roman" w:cs="Times New Roman"/>
            <w:color w:val="auto"/>
            <w:kern w:val="0"/>
            <w:sz w:val="24"/>
            <w:szCs w:val="24"/>
            <w:u w:val="none"/>
            <w:lang w:val="ru-RU" w:eastAsia="en-US" w:bidi="ar-SA"/>
          </w:rPr>
          <w:t>первичного документа</w:t>
        </w:r>
      </w:hyperlink>
      <w:r>
        <w:rPr>
          <w:rFonts w:eastAsia="Times New Roman" w:cs="Times New Roman"/>
          <w:color w:val="auto"/>
          <w:kern w:val="0"/>
          <w:sz w:val="24"/>
          <w:szCs w:val="24"/>
          <w:lang w:val="ru-RU" w:eastAsia="en-US" w:bidi="ar-SA"/>
        </w:rPr>
        <w:t xml:space="preserve"> о передаче товаров, работ, услуг).</w:t>
      </w:r>
    </w:p>
    <w:p>
      <w:pPr>
        <w:pStyle w:val="ListParagraph"/>
        <w:shd w:val="clear" w:color="auto" w:fill="FFFFFF"/>
        <w:tabs>
          <w:tab w:val="clear" w:pos="709"/>
          <w:tab w:val="left" w:pos="0" w:leader="none"/>
        </w:tabs>
        <w:overflowPunct w:val="true"/>
        <w:ind w:left="0" w:firstLine="709"/>
        <w:jc w:val="both"/>
        <w:textAlignment w:val="baseline"/>
        <w:rPr>
          <w:b/>
          <w:sz w:val="24"/>
          <w:szCs w:val="24"/>
          <w:lang w:eastAsia="en-US"/>
        </w:rPr>
      </w:pPr>
      <w:r>
        <w:rPr>
          <w:rFonts w:eastAsia="Times New Roman" w:cs="Times New Roman"/>
          <w:b/>
          <w:bCs/>
          <w:color w:val="auto"/>
          <w:kern w:val="0"/>
          <w:sz w:val="24"/>
          <w:szCs w:val="24"/>
          <w:lang w:val="ru-RU" w:eastAsia="en-US" w:bidi="ar-SA"/>
        </w:rPr>
        <w:t>«Национальный режим»</w:t>
      </w:r>
      <w:r>
        <w:rPr>
          <w:rFonts w:eastAsia="Times New Roman" w:cs="Times New Roman"/>
          <w:bCs/>
          <w:color w:val="auto"/>
          <w:kern w:val="0"/>
          <w:sz w:val="24"/>
          <w:szCs w:val="24"/>
          <w:lang w:val="ru-RU" w:eastAsia="en-US" w:bidi="ar-SA"/>
        </w:rPr>
        <w:t xml:space="preserve"> - установленные законодательством Российской Федерации условия, обеспечивающие предоставление (или непредоставление) для происходящей из иностранного государства продукции прав участия в закупке, равных с правами для продукции российского происхождения.</w:t>
      </w:r>
      <w:r>
        <w:rPr>
          <w:rFonts w:eastAsia="Times New Roman" w:cs="Times New Roman"/>
          <w:b/>
          <w:color w:val="auto"/>
          <w:kern w:val="0"/>
          <w:sz w:val="24"/>
          <w:szCs w:val="24"/>
          <w:lang w:val="ru-RU" w:eastAsia="en-US" w:bidi="ar-SA"/>
        </w:rPr>
        <w:t xml:space="preserve"> </w:t>
      </w:r>
    </w:p>
    <w:p>
      <w:pPr>
        <w:pStyle w:val="ListParagraph"/>
        <w:shd w:val="clear" w:color="auto" w:fill="FFFFFF"/>
        <w:tabs>
          <w:tab w:val="clear" w:pos="709"/>
          <w:tab w:val="left" w:pos="0" w:leader="none"/>
        </w:tabs>
        <w:ind w:left="0" w:firstLine="709"/>
        <w:jc w:val="both"/>
        <w:textAlignment w:val="baseline"/>
        <w:rPr>
          <w:sz w:val="24"/>
          <w:szCs w:val="24"/>
          <w:lang w:eastAsia="en-US"/>
        </w:rPr>
      </w:pPr>
      <w:r>
        <w:rPr>
          <w:b/>
          <w:sz w:val="24"/>
          <w:szCs w:val="24"/>
          <w:lang w:eastAsia="en-US"/>
        </w:rPr>
        <w:t xml:space="preserve">«Отказ от Договора» </w:t>
      </w:r>
      <w:r>
        <w:rPr>
          <w:sz w:val="24"/>
          <w:szCs w:val="24"/>
          <w:lang w:eastAsia="en-US"/>
        </w:rPr>
        <w:t xml:space="preserve">– односторонний внесудебный отказ от исполнения Договора, совершенный Стороной в соответствии со статьей 450.1 Гражданского кодекса Российской Федерации в случаях, установленных Договором. </w:t>
      </w:r>
    </w:p>
    <w:p>
      <w:pPr>
        <w:pStyle w:val="Normal"/>
        <w:jc w:val="both"/>
        <w:rPr>
          <w:sz w:val="24"/>
          <w:szCs w:val="24"/>
          <w:lang w:eastAsia="en-US"/>
        </w:rPr>
      </w:pPr>
      <w:r>
        <w:rPr>
          <w:b/>
          <w:sz w:val="24"/>
          <w:szCs w:val="24"/>
          <w:lang w:eastAsia="en-US"/>
        </w:rPr>
        <w:t xml:space="preserve">            </w:t>
      </w:r>
      <w:r>
        <w:rPr>
          <w:b/>
          <w:sz w:val="24"/>
          <w:szCs w:val="24"/>
          <w:lang w:eastAsia="en-US"/>
        </w:rPr>
        <w:t>«Применимое право»</w:t>
      </w:r>
      <w:r>
        <w:rPr>
          <w:sz w:val="24"/>
          <w:szCs w:val="24"/>
          <w:lang w:eastAsia="en-US"/>
        </w:rPr>
        <w:t xml:space="preserve"> – обязательные для Сторон в процессе исполнения Договора 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технические регламенты, национальные стандарты (ГОСТ Р), иные нормативные правовые и нормативно-технические документы Российской Федерации, содержащие экологические нормы, санитарно-гигиенические правила, требования промышленной и противопожарной безопасности, относящиеся к товару.</w:t>
      </w:r>
    </w:p>
    <w:p>
      <w:pPr>
        <w:pStyle w:val="Normal"/>
        <w:ind w:firstLine="708"/>
        <w:jc w:val="both"/>
        <w:rPr>
          <w:sz w:val="24"/>
          <w:szCs w:val="24"/>
          <w:lang w:eastAsia="en-US"/>
        </w:rPr>
      </w:pPr>
      <w:r>
        <w:rPr>
          <w:b/>
          <w:sz w:val="24"/>
          <w:szCs w:val="24"/>
          <w:lang w:eastAsia="en-US"/>
        </w:rPr>
        <w:t xml:space="preserve"> </w:t>
      </w:r>
      <w:r>
        <w:rPr>
          <w:b/>
          <w:sz w:val="24"/>
          <w:szCs w:val="24"/>
          <w:lang w:eastAsia="en-US"/>
        </w:rPr>
        <w:t>«Рабочий день»</w:t>
      </w:r>
      <w:r>
        <w:rPr>
          <w:sz w:val="24"/>
          <w:szCs w:val="24"/>
          <w:lang w:eastAsia="en-US"/>
        </w:rPr>
        <w:t xml:space="preserve"> – день, который в соответствии с Применимым правом, является рабочим днем в Российской Федерации.</w:t>
      </w:r>
    </w:p>
    <w:p>
      <w:pPr>
        <w:pStyle w:val="Heading3"/>
        <w:keepNext w:val="false"/>
        <w:tabs>
          <w:tab w:val="clear" w:pos="709"/>
          <w:tab w:val="left" w:pos="0" w:leader="none"/>
        </w:tabs>
        <w:spacing w:before="0" w:after="0"/>
        <w:ind w:firstLine="708"/>
        <w:jc w:val="both"/>
        <w:textAlignment w:val="baseline"/>
        <w:rPr>
          <w:rFonts w:ascii="Times New Roman" w:hAnsi="Times New Roman"/>
          <w:b w:val="false"/>
          <w:color w:val="auto"/>
          <w:sz w:val="24"/>
          <w:szCs w:val="24"/>
          <w:lang w:val="ru-RU" w:eastAsia="en-US"/>
        </w:rPr>
      </w:pPr>
      <w:r>
        <w:rPr>
          <w:rFonts w:ascii="Times New Roman" w:hAnsi="Times New Roman"/>
          <w:color w:val="auto"/>
          <w:sz w:val="24"/>
          <w:szCs w:val="24"/>
          <w:lang w:val="ru-RU" w:eastAsia="en-US"/>
        </w:rPr>
        <w:t>«Цена Договора»</w:t>
      </w:r>
      <w:r>
        <w:rPr>
          <w:rFonts w:ascii="Times New Roman" w:hAnsi="Times New Roman"/>
          <w:b w:val="false"/>
          <w:color w:val="auto"/>
          <w:sz w:val="24"/>
          <w:szCs w:val="24"/>
          <w:lang w:val="ru-RU" w:eastAsia="en-US"/>
        </w:rPr>
        <w:t xml:space="preserve"> – определяемая в соответствии с разделом 2 Договора сумма, которую Покупатель обязуется уплатить Поставщику в порядке и на условиях, установленных Договором, включающая компенсацию всех издержек Поставщика и причитающееся ему вознаграждение, а также инфляционные риски на весь период действия Договора. </w:t>
      </w:r>
    </w:p>
    <w:p>
      <w:pPr>
        <w:pStyle w:val="Normal"/>
        <w:numPr>
          <w:ilvl w:val="0"/>
          <w:numId w:val="2"/>
        </w:numPr>
        <w:shd w:val="clear" w:color="auto" w:fill="FFFFFF"/>
        <w:tabs>
          <w:tab w:val="clear" w:pos="709"/>
          <w:tab w:val="left" w:pos="284" w:leader="none"/>
        </w:tabs>
        <w:ind w:left="0" w:hanging="0"/>
        <w:jc w:val="center"/>
        <w:rPr>
          <w:b/>
          <w:bCs/>
          <w:sz w:val="24"/>
          <w:szCs w:val="24"/>
        </w:rPr>
      </w:pPr>
      <w:r>
        <w:rPr>
          <w:b/>
          <w:bCs/>
          <w:sz w:val="24"/>
          <w:szCs w:val="24"/>
        </w:rPr>
        <w:t>Предмет Договора</w:t>
      </w:r>
    </w:p>
    <w:p>
      <w:pPr>
        <w:pStyle w:val="Normal"/>
        <w:numPr>
          <w:ilvl w:val="1"/>
          <w:numId w:val="2"/>
        </w:numPr>
        <w:shd w:val="clear" w:color="auto" w:fill="FFFFFF"/>
        <w:tabs>
          <w:tab w:val="clear" w:pos="709"/>
          <w:tab w:val="left" w:pos="1134" w:leader="none"/>
        </w:tabs>
        <w:ind w:left="0" w:firstLine="709"/>
        <w:jc w:val="both"/>
        <w:rPr>
          <w:bCs/>
          <w:sz w:val="24"/>
          <w:szCs w:val="24"/>
        </w:rPr>
      </w:pPr>
      <w:r>
        <w:rPr>
          <w:rFonts w:eastAsia="Times New Roman" w:cs="Times New Roman"/>
          <w:bCs/>
          <w:sz w:val="24"/>
          <w:szCs w:val="24"/>
          <w:lang w:eastAsia="ru-RU"/>
        </w:rPr>
        <w:t>Поставщик обязуется в порядке и сроки, установленные Договором, передать в собственность Покупателю</w:t>
      </w:r>
      <w:r>
        <w:rPr>
          <w:rFonts w:eastAsia="Calibri" w:cs="Times New Roman"/>
          <w:bCs/>
          <w:sz w:val="24"/>
          <w:szCs w:val="24"/>
        </w:rPr>
        <w:t xml:space="preserve"> </w:t>
      </w:r>
      <w:r>
        <w:rPr>
          <w:b w:val="false"/>
          <w:i w:val="false"/>
          <w:strike w:val="false"/>
          <w:dstrike w:val="false"/>
          <w:outline w:val="false"/>
          <w:shadow w:val="false"/>
          <w:sz w:val="24"/>
          <w:szCs w:val="24"/>
          <w:u w:val="none"/>
          <w:em w:val="none"/>
        </w:rPr>
        <w:t xml:space="preserve">запасные части и приборы для участка химического анализа </w:t>
      </w:r>
      <w:r>
        <w:rPr>
          <w:rFonts w:eastAsia="Times New Roman" w:cs="Times New Roman"/>
          <w:bCs/>
          <w:sz w:val="24"/>
          <w:szCs w:val="24"/>
          <w:lang w:eastAsia="ru-RU"/>
        </w:rPr>
        <w:t>(далее – «Товар») в соответствии со Спецификацией (Приложение № 1 к Договору) и Техническими требованиями (Приложение № 2 к Договору), а Покупатель обязуется принять Товар и уплатить Цену Договора</w:t>
      </w:r>
      <w:r>
        <w:rPr>
          <w:bCs/>
          <w:sz w:val="24"/>
          <w:szCs w:val="24"/>
        </w:rPr>
        <w:t>.</w:t>
      </w:r>
    </w:p>
    <w:p>
      <w:pPr>
        <w:pStyle w:val="Normal"/>
        <w:numPr>
          <w:ilvl w:val="1"/>
          <w:numId w:val="2"/>
        </w:numPr>
        <w:shd w:val="clear" w:color="auto" w:fill="FFFFFF"/>
        <w:tabs>
          <w:tab w:val="clear" w:pos="709"/>
          <w:tab w:val="left" w:pos="0" w:leader="none"/>
          <w:tab w:val="left" w:pos="1134" w:leader="none"/>
        </w:tabs>
        <w:ind w:left="0" w:firstLine="709"/>
        <w:jc w:val="both"/>
        <w:rPr>
          <w:bCs/>
          <w:sz w:val="24"/>
          <w:szCs w:val="24"/>
        </w:rPr>
      </w:pPr>
      <w:r>
        <w:rPr>
          <w:bCs/>
          <w:sz w:val="24"/>
          <w:szCs w:val="24"/>
        </w:rPr>
        <w:t>Поставка Товара по Договору осуществляется для нужд филиала ПАО «РусГидро»-«Камская ГЭС».</w:t>
      </w:r>
    </w:p>
    <w:p>
      <w:pPr>
        <w:pStyle w:val="Normal"/>
        <w:numPr>
          <w:ilvl w:val="1"/>
          <w:numId w:val="2"/>
        </w:numPr>
        <w:shd w:val="clear" w:color="auto" w:fill="FFFFFF"/>
        <w:tabs>
          <w:tab w:val="clear" w:pos="709"/>
          <w:tab w:val="left" w:pos="0" w:leader="none"/>
          <w:tab w:val="left" w:pos="1134" w:leader="none"/>
        </w:tabs>
        <w:ind w:left="0" w:firstLine="709"/>
        <w:jc w:val="both"/>
        <w:rPr>
          <w:bCs/>
          <w:sz w:val="24"/>
          <w:szCs w:val="24"/>
        </w:rPr>
      </w:pPr>
      <w:r>
        <w:rPr>
          <w:bCs/>
          <w:sz w:val="24"/>
          <w:szCs w:val="24"/>
        </w:rPr>
        <w:t xml:space="preserve">Место поставки Товара: </w:t>
      </w:r>
      <w:r>
        <w:rPr>
          <w:sz w:val="24"/>
          <w:szCs w:val="24"/>
        </w:rPr>
        <w:t>г. Пермь, ул. Соликамская, д. 329 (далее – «Место поставки»).</w:t>
      </w:r>
    </w:p>
    <w:p>
      <w:pPr>
        <w:pStyle w:val="Normal"/>
        <w:numPr>
          <w:ilvl w:val="1"/>
          <w:numId w:val="2"/>
        </w:numPr>
        <w:shd w:val="clear" w:color="auto" w:fill="FFFFFF"/>
        <w:tabs>
          <w:tab w:val="clear" w:pos="709"/>
          <w:tab w:val="left" w:pos="0" w:leader="none"/>
          <w:tab w:val="left" w:pos="540" w:leader="none"/>
          <w:tab w:val="left" w:pos="1134" w:leader="none"/>
        </w:tabs>
        <w:ind w:left="0" w:firstLine="709"/>
        <w:jc w:val="both"/>
        <w:rPr>
          <w:bCs/>
          <w:sz w:val="24"/>
          <w:szCs w:val="24"/>
        </w:rPr>
      </w:pPr>
      <w:r>
        <w:rPr>
          <w:bCs/>
          <w:sz w:val="24"/>
          <w:szCs w:val="24"/>
        </w:rPr>
        <w:t>Общий срок поставки Товара:</w:t>
      </w:r>
    </w:p>
    <w:p>
      <w:pPr>
        <w:pStyle w:val="Standard"/>
        <w:numPr>
          <w:ilvl w:val="2"/>
          <w:numId w:val="2"/>
        </w:numPr>
        <w:shd w:val="clear" w:color="auto" w:fill="FFFFFF"/>
        <w:tabs>
          <w:tab w:val="clear" w:pos="709"/>
          <w:tab w:val="left" w:pos="0" w:leader="none"/>
          <w:tab w:val="left" w:pos="1134" w:leader="none"/>
          <w:tab w:val="left" w:pos="1418" w:leader="none"/>
        </w:tabs>
        <w:ind w:left="1639" w:hanging="930"/>
        <w:jc w:val="both"/>
        <w:rPr>
          <w:bCs/>
        </w:rPr>
      </w:pPr>
      <w:r>
        <w:rPr>
          <w:bCs/>
        </w:rPr>
        <w:t xml:space="preserve">Начало – </w:t>
      </w:r>
      <w:r>
        <w:rPr>
          <w:rFonts w:ascii="Times New Roman" w:hAnsi="Times New Roman"/>
          <w:bCs/>
        </w:rPr>
        <w:t xml:space="preserve">с даты заключения Договора. </w:t>
      </w:r>
    </w:p>
    <w:p>
      <w:pPr>
        <w:pStyle w:val="Normal"/>
        <w:widowControl w:val="false"/>
        <w:numPr>
          <w:ilvl w:val="2"/>
          <w:numId w:val="2"/>
        </w:numPr>
        <w:tabs>
          <w:tab w:val="clear" w:pos="709"/>
          <w:tab w:val="left" w:pos="1412" w:leader="none"/>
        </w:tabs>
        <w:suppressAutoHyphens w:val="true"/>
        <w:bidi w:val="0"/>
        <w:spacing w:before="0" w:after="0"/>
        <w:ind w:left="0" w:right="0" w:firstLine="680"/>
        <w:jc w:val="both"/>
        <w:rPr>
          <w:sz w:val="24"/>
          <w:szCs w:val="24"/>
        </w:rPr>
      </w:pPr>
      <w:r>
        <w:rPr>
          <w:bCs/>
          <w:sz w:val="24"/>
          <w:szCs w:val="24"/>
        </w:rPr>
        <w:t xml:space="preserve">Окончание – до 30.11.2026г. </w:t>
      </w:r>
    </w:p>
    <w:p>
      <w:pPr>
        <w:pStyle w:val="Normal"/>
        <w:numPr>
          <w:ilvl w:val="1"/>
          <w:numId w:val="2"/>
        </w:numPr>
        <w:shd w:val="clear" w:color="auto" w:fill="FFFFFF"/>
        <w:tabs>
          <w:tab w:val="clear" w:pos="709"/>
          <w:tab w:val="left" w:pos="0" w:leader="none"/>
          <w:tab w:val="left" w:pos="1134" w:leader="none"/>
        </w:tabs>
        <w:ind w:left="0" w:firstLine="709"/>
        <w:jc w:val="both"/>
        <w:rPr>
          <w:bCs/>
          <w:sz w:val="24"/>
          <w:szCs w:val="24"/>
        </w:rPr>
      </w:pPr>
      <w:r>
        <w:rPr>
          <w:bCs/>
          <w:sz w:val="24"/>
          <w:szCs w:val="24"/>
        </w:rPr>
        <w:t xml:space="preserve">Товар поставляется одной партией в рамках общих сроков, указанных в пункте 1.4 Договора. </w:t>
      </w:r>
    </w:p>
    <w:p>
      <w:pPr>
        <w:pStyle w:val="Normal"/>
        <w:numPr>
          <w:ilvl w:val="0"/>
          <w:numId w:val="2"/>
        </w:numPr>
        <w:shd w:val="clear" w:color="auto" w:fill="FFFFFF"/>
        <w:tabs>
          <w:tab w:val="clear" w:pos="709"/>
          <w:tab w:val="left" w:pos="284" w:leader="none"/>
        </w:tabs>
        <w:ind w:left="0" w:hanging="0"/>
        <w:jc w:val="center"/>
        <w:rPr>
          <w:b/>
          <w:bCs/>
          <w:sz w:val="24"/>
          <w:szCs w:val="24"/>
        </w:rPr>
      </w:pPr>
      <w:r>
        <w:rPr>
          <w:b/>
          <w:bCs/>
          <w:sz w:val="24"/>
          <w:szCs w:val="24"/>
        </w:rPr>
        <w:t>Цена Договора и порядок расчетов</w:t>
      </w:r>
    </w:p>
    <w:p>
      <w:pPr>
        <w:pStyle w:val="Normal"/>
        <w:numPr>
          <w:ilvl w:val="1"/>
          <w:numId w:val="2"/>
        </w:numPr>
        <w:shd w:val="clear" w:color="auto" w:fill="FFFFFF"/>
        <w:tabs>
          <w:tab w:val="clear" w:pos="709"/>
          <w:tab w:val="left" w:pos="0" w:leader="none"/>
          <w:tab w:val="left" w:pos="1134" w:leader="none"/>
        </w:tabs>
        <w:ind w:left="0" w:firstLine="709"/>
        <w:jc w:val="both"/>
        <w:rPr>
          <w:bCs/>
          <w:sz w:val="24"/>
          <w:szCs w:val="24"/>
        </w:rPr>
      </w:pPr>
      <w:r>
        <w:rPr>
          <w:sz w:val="24"/>
          <w:szCs w:val="24"/>
        </w:rPr>
        <w:t xml:space="preserve">Цена Договора в соответствии со Спецификацией (Приложение № 1 к Договору) </w:t>
      </w:r>
      <w:r>
        <w:rPr>
          <w:bCs/>
          <w:sz w:val="24"/>
          <w:szCs w:val="24"/>
        </w:rPr>
        <w:t xml:space="preserve">является  твердой и составляет </w:t>
      </w:r>
      <w:r>
        <w:rPr>
          <w:sz w:val="24"/>
          <w:szCs w:val="24"/>
        </w:rPr>
        <w:t>_______</w:t>
      </w:r>
      <w:r>
        <w:rPr>
          <w:bCs/>
          <w:sz w:val="24"/>
          <w:szCs w:val="24"/>
        </w:rPr>
        <w:t xml:space="preserve"> (</w:t>
      </w:r>
      <w:r>
        <w:rPr>
          <w:sz w:val="24"/>
          <w:szCs w:val="24"/>
        </w:rPr>
        <w:t>__________________</w:t>
      </w:r>
      <w:r>
        <w:rPr>
          <w:bCs/>
          <w:sz w:val="24"/>
          <w:szCs w:val="24"/>
        </w:rPr>
        <w:t xml:space="preserve">) рублей </w:t>
      </w:r>
      <w:r>
        <w:rPr>
          <w:sz w:val="24"/>
          <w:szCs w:val="24"/>
        </w:rPr>
        <w:t>___</w:t>
      </w:r>
      <w:r>
        <w:rPr>
          <w:bCs/>
          <w:sz w:val="24"/>
          <w:szCs w:val="24"/>
        </w:rPr>
        <w:t xml:space="preserve"> копеек без учета НДС, при этом НДС исчисляется дополнительно по ставке, установленной статьей 164 Налогового Кодекса Российской Федерации (далее – НК РФ).</w:t>
      </w:r>
    </w:p>
    <w:p>
      <w:pPr>
        <w:pStyle w:val="ListParagraph"/>
        <w:numPr>
          <w:ilvl w:val="1"/>
          <w:numId w:val="2"/>
        </w:numPr>
        <w:shd w:val="clear" w:color="auto" w:fill="FFFFFF"/>
        <w:tabs>
          <w:tab w:val="clear" w:pos="709"/>
          <w:tab w:val="left" w:pos="1134" w:leader="none"/>
        </w:tabs>
        <w:ind w:left="0" w:firstLine="709"/>
        <w:jc w:val="both"/>
        <w:rPr>
          <w:bCs/>
          <w:sz w:val="24"/>
          <w:szCs w:val="24"/>
        </w:rPr>
      </w:pPr>
      <w:r>
        <w:rPr>
          <w:bCs/>
          <w:sz w:val="24"/>
          <w:szCs w:val="24"/>
        </w:rPr>
        <w:t xml:space="preserve">Цена Договора включает в себя прибыль Поставщика, а также все расходы и затраты Поставщика на: </w:t>
      </w:r>
    </w:p>
    <w:p>
      <w:pPr>
        <w:pStyle w:val="Normal"/>
        <w:numPr>
          <w:ilvl w:val="2"/>
          <w:numId w:val="2"/>
        </w:numPr>
        <w:shd w:val="clear" w:color="auto" w:fill="FFFFFF"/>
        <w:tabs>
          <w:tab w:val="clear" w:pos="709"/>
          <w:tab w:val="left" w:pos="1418" w:leader="none"/>
        </w:tabs>
        <w:ind w:left="0" w:firstLine="709"/>
        <w:jc w:val="both"/>
        <w:rPr>
          <w:bCs/>
          <w:sz w:val="24"/>
          <w:szCs w:val="24"/>
        </w:rPr>
      </w:pPr>
      <w:r>
        <w:rPr>
          <w:bCs/>
          <w:sz w:val="24"/>
          <w:szCs w:val="24"/>
        </w:rPr>
        <w:t xml:space="preserve">производство и / или приобретение Товара;  </w:t>
      </w:r>
    </w:p>
    <w:p>
      <w:pPr>
        <w:pStyle w:val="Normal"/>
        <w:numPr>
          <w:ilvl w:val="2"/>
          <w:numId w:val="2"/>
        </w:numPr>
        <w:shd w:val="clear" w:color="auto" w:fill="FFFFFF"/>
        <w:tabs>
          <w:tab w:val="clear" w:pos="709"/>
          <w:tab w:val="left" w:pos="1418" w:leader="none"/>
        </w:tabs>
        <w:ind w:left="0" w:firstLine="709"/>
        <w:jc w:val="both"/>
        <w:rPr>
          <w:bCs/>
          <w:sz w:val="24"/>
          <w:szCs w:val="24"/>
        </w:rPr>
      </w:pPr>
      <w:r>
        <w:rPr>
          <w:bCs/>
          <w:sz w:val="24"/>
          <w:szCs w:val="24"/>
        </w:rPr>
        <w:t xml:space="preserve">транспортировку Товара до Места поставки, погрузку, разгрузку, перемещение по территории Покупателя, стоимость тары и упаковки, лицензий, необходимых для использования Товара (если применимо); </w:t>
      </w:r>
    </w:p>
    <w:p>
      <w:pPr>
        <w:pStyle w:val="Normal"/>
        <w:numPr>
          <w:ilvl w:val="2"/>
          <w:numId w:val="2"/>
        </w:numPr>
        <w:shd w:val="clear" w:color="auto" w:fill="FFFFFF"/>
        <w:tabs>
          <w:tab w:val="clear" w:pos="709"/>
          <w:tab w:val="left" w:pos="1418" w:leader="none"/>
        </w:tabs>
        <w:ind w:left="0" w:firstLine="709"/>
        <w:jc w:val="both"/>
        <w:rPr>
          <w:bCs/>
          <w:sz w:val="24"/>
          <w:szCs w:val="24"/>
        </w:rPr>
      </w:pPr>
      <w:r>
        <w:rPr>
          <w:bCs/>
          <w:sz w:val="24"/>
          <w:szCs w:val="24"/>
        </w:rPr>
        <w:t>подлежащие уплате налоги, сборы и пошлины (в том числе по таможенному оформлению Товара, если применимо)</w:t>
      </w:r>
      <w:r>
        <w:rPr>
          <w:bCs/>
          <w:sz w:val="24"/>
          <w:szCs w:val="24"/>
          <w:lang w:val="en-US"/>
        </w:rPr>
        <w:t>;</w:t>
      </w:r>
    </w:p>
    <w:p>
      <w:pPr>
        <w:pStyle w:val="Normal"/>
        <w:numPr>
          <w:ilvl w:val="2"/>
          <w:numId w:val="2"/>
        </w:numPr>
        <w:shd w:val="clear" w:color="auto" w:fill="FFFFFF"/>
        <w:tabs>
          <w:tab w:val="clear" w:pos="709"/>
          <w:tab w:val="left" w:pos="1418" w:leader="none"/>
        </w:tabs>
        <w:ind w:left="0" w:firstLine="709"/>
        <w:jc w:val="both"/>
        <w:rPr>
          <w:bCs/>
          <w:sz w:val="24"/>
          <w:szCs w:val="24"/>
        </w:rPr>
      </w:pPr>
      <w:r>
        <w:rPr>
          <w:bCs/>
          <w:sz w:val="24"/>
          <w:szCs w:val="24"/>
        </w:rPr>
        <w:t xml:space="preserve">заработную плату, накладные и командировочные расходы, перемещение и размещение персонала Поставщика; </w:t>
      </w:r>
    </w:p>
    <w:p>
      <w:pPr>
        <w:pStyle w:val="Normal"/>
        <w:numPr>
          <w:ilvl w:val="2"/>
          <w:numId w:val="2"/>
        </w:numPr>
        <w:shd w:val="clear" w:color="auto" w:fill="FFFFFF"/>
        <w:tabs>
          <w:tab w:val="clear" w:pos="709"/>
          <w:tab w:val="left" w:pos="1418" w:leader="none"/>
        </w:tabs>
        <w:ind w:left="0" w:firstLine="709"/>
        <w:jc w:val="both"/>
        <w:rPr>
          <w:bCs/>
          <w:sz w:val="24"/>
          <w:szCs w:val="24"/>
        </w:rPr>
      </w:pPr>
      <w:r>
        <w:rPr>
          <w:bCs/>
          <w:sz w:val="24"/>
          <w:szCs w:val="24"/>
        </w:rPr>
        <w:t xml:space="preserve">все прочие затраты и расходы Поставщика, связанные с поставкой Товара и исполнением иных обязательств по Договору, а также все непредвиденные расходы, которые могут возникнуть у Поставщика в течение срока действия Договора. </w:t>
      </w:r>
    </w:p>
    <w:p>
      <w:pPr>
        <w:pStyle w:val="Normal"/>
        <w:numPr>
          <w:ilvl w:val="1"/>
          <w:numId w:val="2"/>
        </w:numPr>
        <w:shd w:val="clear" w:color="auto" w:fill="FFFFFF"/>
        <w:tabs>
          <w:tab w:val="clear" w:pos="709"/>
          <w:tab w:val="left" w:pos="568" w:leader="none"/>
          <w:tab w:val="left" w:pos="1134" w:leader="none"/>
        </w:tabs>
        <w:ind w:left="0" w:firstLine="709"/>
        <w:jc w:val="both"/>
        <w:rPr>
          <w:sz w:val="24"/>
          <w:szCs w:val="24"/>
        </w:rPr>
      </w:pPr>
      <w:r>
        <w:rPr>
          <w:sz w:val="24"/>
          <w:szCs w:val="24"/>
        </w:rPr>
        <w:t>Изменение стоимости Товара по Договору не требует заключения дополнительного соглашения к Договору только в случае, когда оно вызвано изменением ставки российского НДС.</w:t>
      </w:r>
    </w:p>
    <w:p>
      <w:pPr>
        <w:pStyle w:val="Normal"/>
        <w:numPr>
          <w:ilvl w:val="1"/>
          <w:numId w:val="2"/>
        </w:numPr>
        <w:shd w:val="clear" w:color="auto" w:fill="FFFFFF"/>
        <w:tabs>
          <w:tab w:val="clear" w:pos="709"/>
          <w:tab w:val="left" w:pos="0" w:leader="none"/>
          <w:tab w:val="left" w:pos="1134" w:leader="none"/>
        </w:tabs>
        <w:ind w:left="0" w:firstLine="709"/>
        <w:jc w:val="both"/>
        <w:rPr>
          <w:sz w:val="24"/>
          <w:szCs w:val="24"/>
        </w:rPr>
      </w:pPr>
      <w:r>
        <w:rPr>
          <w:sz w:val="24"/>
          <w:szCs w:val="24"/>
        </w:rPr>
        <w:t xml:space="preserve">Оплата по Договору осуществляется Покупателем в следующем порядке: </w:t>
      </w:r>
    </w:p>
    <w:p>
      <w:pPr>
        <w:pStyle w:val="ListParagraph"/>
        <w:widowControl/>
        <w:numPr>
          <w:ilvl w:val="2"/>
          <w:numId w:val="2"/>
        </w:numPr>
        <w:shd w:val="clear" w:color="auto" w:fill="FFFFFF"/>
        <w:tabs>
          <w:tab w:val="clear" w:pos="709"/>
          <w:tab w:val="left" w:pos="0" w:leader="none"/>
          <w:tab w:val="left" w:pos="1418" w:leader="none"/>
        </w:tabs>
        <w:ind w:left="0" w:firstLine="709"/>
        <w:jc w:val="both"/>
        <w:rPr>
          <w:sz w:val="24"/>
          <w:szCs w:val="24"/>
        </w:rPr>
      </w:pPr>
      <w:r>
        <w:rPr>
          <w:sz w:val="24"/>
          <w:szCs w:val="24"/>
        </w:rPr>
        <w:t>Авансовый платеж за Товар в размере 30 (тридцати) процентов от стоимости Товара без учета НДС, кроме того НДС по ставке, установленной статьей 164 НК РФ на дату выплаты авансового платежа, выплачивается Поставщику в течение 30 (тридцати) календарных дней с даты получения Покупателем счета, выставленного Поставщиком, но не ранее чем за 30 (тридцать) календарных дней до даты поставки  Товара, и с учетом пункта 2.4.3 Договора.</w:t>
      </w:r>
    </w:p>
    <w:p>
      <w:pPr>
        <w:pStyle w:val="ListParagraph"/>
        <w:widowControl/>
        <w:numPr>
          <w:ilvl w:val="2"/>
          <w:numId w:val="2"/>
        </w:numPr>
        <w:shd w:val="clear" w:color="auto" w:fill="FFFFFF"/>
        <w:tabs>
          <w:tab w:val="clear" w:pos="709"/>
          <w:tab w:val="left" w:pos="0" w:leader="none"/>
          <w:tab w:val="left" w:pos="1418" w:leader="none"/>
        </w:tabs>
        <w:ind w:left="0" w:firstLine="709"/>
        <w:jc w:val="both"/>
        <w:rPr>
          <w:sz w:val="24"/>
          <w:szCs w:val="24"/>
        </w:rPr>
      </w:pPr>
      <w:r>
        <w:rPr>
          <w:sz w:val="24"/>
          <w:szCs w:val="24"/>
        </w:rPr>
        <w:t>Последующий платеж в размере разницы между стоимостью Товара без учета НДС, кроме того НДС по ставке, установленной статьей 164 НК РФ на дату подписания Сторонами накладной ТОРГ-12/УПД, и суммой ранее уплаченного авансового платежа, выплачивается Поставщику в течение 7 (семи) рабочих дней с даты подписания Сторонами накладной ТОРГ-12/УПД, на основании счета, выставленного Поставщиком, и с учетом пункта 2.4.3 Договора.</w:t>
      </w:r>
    </w:p>
    <w:p>
      <w:pPr>
        <w:pStyle w:val="ListParagraph"/>
        <w:widowControl/>
        <w:numPr>
          <w:ilvl w:val="2"/>
          <w:numId w:val="2"/>
        </w:numPr>
        <w:shd w:val="clear" w:color="auto" w:fill="FFFFFF"/>
        <w:tabs>
          <w:tab w:val="clear" w:pos="709"/>
          <w:tab w:val="left" w:pos="0" w:leader="none"/>
          <w:tab w:val="left" w:pos="1418" w:leader="none"/>
        </w:tabs>
        <w:ind w:left="0" w:firstLine="709"/>
        <w:jc w:val="both"/>
        <w:rPr>
          <w:sz w:val="24"/>
          <w:szCs w:val="24"/>
        </w:rPr>
      </w:pPr>
      <w:r>
        <w:rPr>
          <w:sz w:val="24"/>
          <w:szCs w:val="24"/>
        </w:rPr>
        <w:t>В случае выставления Поставщиком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Покупателем не принимается и подлежит замене Поставщиком независимо от его фактического вручения Покупателю. В случае выставления Поставщиком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Покупателем.</w:t>
      </w:r>
    </w:p>
    <w:p>
      <w:pPr>
        <w:pStyle w:val="ListParagraph"/>
        <w:widowControl/>
        <w:numPr>
          <w:ilvl w:val="1"/>
          <w:numId w:val="2"/>
        </w:numPr>
        <w:shd w:val="clear" w:color="auto" w:fill="FFFFFF"/>
        <w:tabs>
          <w:tab w:val="clear" w:pos="709"/>
          <w:tab w:val="left" w:pos="0" w:leader="none"/>
          <w:tab w:val="left" w:pos="1134" w:leader="none"/>
        </w:tabs>
        <w:ind w:left="0" w:firstLine="709"/>
        <w:jc w:val="both"/>
        <w:rPr>
          <w:bCs/>
          <w:sz w:val="24"/>
          <w:szCs w:val="24"/>
        </w:rPr>
      </w:pPr>
      <w:r>
        <w:rPr>
          <w:bCs/>
          <w:sz w:val="24"/>
          <w:szCs w:val="24"/>
        </w:rPr>
        <w:t>Расчеты по Договору осуществляются в валюте Российской Федерации. Оплата производится Покупателем путем перечисления денежных средств на расчетный счет Поставщика, указанный в Договоре. Обязательство Покупателя по осуществлению платежа считается исполненным с даты списания денежных средств с расчетного счета Покупателя.</w:t>
      </w:r>
    </w:p>
    <w:p>
      <w:pPr>
        <w:pStyle w:val="Normal"/>
        <w:numPr>
          <w:ilvl w:val="1"/>
          <w:numId w:val="2"/>
        </w:numPr>
        <w:shd w:val="clear" w:color="auto" w:fill="FFFFFF"/>
        <w:tabs>
          <w:tab w:val="clear" w:pos="709"/>
          <w:tab w:val="left" w:pos="0" w:leader="none"/>
          <w:tab w:val="left" w:pos="567" w:leader="none"/>
          <w:tab w:val="left" w:pos="716" w:leader="none"/>
          <w:tab w:val="left" w:pos="1134" w:leader="none"/>
        </w:tabs>
        <w:ind w:left="0" w:firstLine="709"/>
        <w:jc w:val="both"/>
        <w:rPr>
          <w:sz w:val="24"/>
          <w:szCs w:val="24"/>
        </w:rPr>
      </w:pPr>
      <w:r>
        <w:rPr>
          <w:sz w:val="24"/>
          <w:szCs w:val="24"/>
        </w:rPr>
        <w:t>Индексация Цены Договора не допускается.</w:t>
      </w:r>
    </w:p>
    <w:p>
      <w:pPr>
        <w:pStyle w:val="ListParagraph"/>
        <w:numPr>
          <w:ilvl w:val="1"/>
          <w:numId w:val="2"/>
        </w:numPr>
        <w:tabs>
          <w:tab w:val="clear" w:pos="709"/>
          <w:tab w:val="left" w:pos="1134" w:leader="none"/>
        </w:tabs>
        <w:ind w:left="0" w:firstLine="709"/>
        <w:jc w:val="both"/>
        <w:rPr>
          <w:sz w:val="24"/>
          <w:szCs w:val="24"/>
        </w:rPr>
      </w:pPr>
      <w:r>
        <w:rPr>
          <w:sz w:val="24"/>
          <w:szCs w:val="24"/>
        </w:rPr>
        <w:t>Поставщик обязан представить Покупателю счета-фактуры (УПД), выставленные в сроки и оформленные в порядке, установленном законодательством Российской Федерации. В случае нарушения Поставщиком данного требования, он обязан произвести замену счета-фактуры (УПД) в течение 3 (трех) рабочих дней с даты получения соответствующего письменного требования Покупателя. В случае непредставления Поставщиком в течение 5 (пяти) календарных дней с даты получения авансового платежа счета-фактуры (УПД), подтверждающего право Покупателя на вычет НДС, уплаченного дополнительно к такому авансу, Поставщик обязан в тот же срок возвратить Покупателю разницу между суммой, фактически перечисленной Покупателем, и суммой соответствующего авансового платежа, взятого без учета НДС.</w:t>
      </w:r>
    </w:p>
    <w:p>
      <w:pPr>
        <w:pStyle w:val="ListParagraph"/>
        <w:numPr>
          <w:ilvl w:val="1"/>
          <w:numId w:val="2"/>
        </w:numPr>
        <w:tabs>
          <w:tab w:val="clear" w:pos="709"/>
          <w:tab w:val="left" w:pos="1134" w:leader="none"/>
        </w:tabs>
        <w:ind w:left="0" w:firstLine="709"/>
        <w:jc w:val="both"/>
        <w:rPr>
          <w:sz w:val="24"/>
          <w:szCs w:val="24"/>
        </w:rPr>
      </w:pPr>
      <w:r>
        <w:rPr>
          <w:sz w:val="24"/>
          <w:szCs w:val="24"/>
        </w:rPr>
        <w:t>Поставщик обязан подписать акты сверки взаимных расчетов, направленные Покупателем в 2 (двух) экземплярах, и вернуть 1 (один) экземпляр Покупателю в течение 5 (пяти) рабочих дней с даты получения экземпляров актов сверки расчетов от Покупателя.</w:t>
      </w:r>
    </w:p>
    <w:p>
      <w:pPr>
        <w:pStyle w:val="ListParagraph"/>
        <w:numPr>
          <w:ilvl w:val="1"/>
          <w:numId w:val="2"/>
        </w:numPr>
        <w:tabs>
          <w:tab w:val="clear" w:pos="709"/>
          <w:tab w:val="left" w:pos="1134" w:leader="none"/>
        </w:tabs>
        <w:ind w:left="0" w:firstLine="709"/>
        <w:jc w:val="both"/>
        <w:rPr>
          <w:sz w:val="24"/>
          <w:szCs w:val="24"/>
        </w:rPr>
      </w:pPr>
      <w:r>
        <w:rPr>
          <w:sz w:val="24"/>
        </w:rPr>
        <w:t xml:space="preserve">Покупатель вправе произвести сальдо взаимных обязательств Сторон путем уменьшения сумм причитающихся Поставщику платежей по Договору, а также по взаимосвязанным договорам (цепочке договоров), в рамках единого комплекса хозяйственных взаимоотношений Сторон, направленных на исполнение Договора, на суммы задолженности </w:t>
      </w:r>
      <w:r>
        <w:rPr>
          <w:iCs/>
          <w:sz w:val="24"/>
          <w:szCs w:val="24"/>
        </w:rPr>
        <w:t>Поставщика перед Покупателем</w:t>
      </w:r>
      <w:r>
        <w:rPr>
          <w:sz w:val="24"/>
        </w:rPr>
        <w:t>, в том числе (включая, но не ограничиваясь), суммы неотработанного аванса по Договору, суммы неустоек (пени, штрафы) за неисполнение и / или ненадлежащее исполнение обязательств по Договору, стоимость работ по устранению недостатков Товара, поставленного Поставщиком.</w:t>
      </w:r>
    </w:p>
    <w:p>
      <w:pPr>
        <w:pStyle w:val="Normal"/>
        <w:tabs>
          <w:tab w:val="clear" w:pos="709"/>
          <w:tab w:val="left" w:pos="1134" w:leader="none"/>
        </w:tabs>
        <w:ind w:firstLine="709"/>
        <w:jc w:val="both"/>
        <w:rPr>
          <w:sz w:val="24"/>
          <w:szCs w:val="24"/>
        </w:rPr>
      </w:pPr>
      <w:r>
        <w:rPr>
          <w:sz w:val="24"/>
          <w:szCs w:val="24"/>
        </w:rPr>
        <w:t>Покупатель направляет Поставщику уведомление о проведении сальдо взаимных обязательств Сторон по Договору.</w:t>
      </w:r>
    </w:p>
    <w:p>
      <w:pPr>
        <w:pStyle w:val="Normal"/>
        <w:rPr>
          <w:sz w:val="24"/>
          <w:szCs w:val="24"/>
        </w:rPr>
      </w:pPr>
      <w:r>
        <w:rPr>
          <w:sz w:val="24"/>
          <w:szCs w:val="24"/>
        </w:rPr>
      </w:r>
    </w:p>
    <w:p>
      <w:pPr>
        <w:pStyle w:val="Normal"/>
        <w:numPr>
          <w:ilvl w:val="0"/>
          <w:numId w:val="2"/>
        </w:numPr>
        <w:shd w:val="clear" w:color="auto" w:fill="FFFFFF"/>
        <w:tabs>
          <w:tab w:val="clear" w:pos="709"/>
          <w:tab w:val="left" w:pos="284" w:leader="none"/>
        </w:tabs>
        <w:ind w:left="0" w:hanging="0"/>
        <w:jc w:val="center"/>
        <w:rPr>
          <w:b/>
          <w:bCs/>
          <w:sz w:val="24"/>
          <w:szCs w:val="24"/>
        </w:rPr>
      </w:pPr>
      <w:r>
        <w:rPr>
          <w:b/>
          <w:bCs/>
          <w:sz w:val="24"/>
          <w:szCs w:val="24"/>
        </w:rPr>
        <w:t>Порядок поставки и приемки Товара</w:t>
      </w:r>
    </w:p>
    <w:p>
      <w:pPr>
        <w:pStyle w:val="ListParagraph"/>
        <w:widowControl/>
        <w:numPr>
          <w:ilvl w:val="1"/>
          <w:numId w:val="2"/>
        </w:numPr>
        <w:shd w:val="clear" w:color="auto" w:fill="FFFFFF"/>
        <w:tabs>
          <w:tab w:val="clear" w:pos="709"/>
          <w:tab w:val="left" w:pos="1134" w:leader="none"/>
        </w:tabs>
        <w:ind w:left="0" w:firstLine="709"/>
        <w:jc w:val="both"/>
        <w:rPr>
          <w:bCs/>
          <w:sz w:val="24"/>
          <w:szCs w:val="24"/>
        </w:rPr>
      </w:pPr>
      <w:r>
        <w:rPr>
          <w:sz w:val="24"/>
          <w:szCs w:val="24"/>
        </w:rPr>
        <w:t>Поставка Товара осуществляется одной партией в Место поставки, указанное в пункте 1.3 Договора.</w:t>
      </w:r>
    </w:p>
    <w:p>
      <w:pPr>
        <w:pStyle w:val="ListParagraph"/>
        <w:widowControl/>
        <w:numPr>
          <w:ilvl w:val="1"/>
          <w:numId w:val="2"/>
        </w:numPr>
        <w:shd w:val="clear" w:color="auto" w:fill="FFFFFF"/>
        <w:tabs>
          <w:tab w:val="clear" w:pos="709"/>
          <w:tab w:val="left" w:pos="1134" w:leader="none"/>
        </w:tabs>
        <w:ind w:left="0" w:firstLine="709"/>
        <w:jc w:val="both"/>
        <w:rPr>
          <w:bCs/>
          <w:sz w:val="24"/>
          <w:szCs w:val="24"/>
        </w:rPr>
      </w:pPr>
      <w:r>
        <w:rPr>
          <w:bCs/>
          <w:sz w:val="24"/>
          <w:szCs w:val="24"/>
        </w:rPr>
        <w:t>Качество, комплектность, количество и ассортимент поставляемого по Договору Товара должны соответствовать требованиям Договора и Покупателя,</w:t>
      </w:r>
      <w:r>
        <w:rPr>
          <w:b/>
          <w:bCs/>
          <w:sz w:val="24"/>
          <w:szCs w:val="24"/>
        </w:rPr>
        <w:t xml:space="preserve"> </w:t>
      </w:r>
      <w:r>
        <w:rPr>
          <w:bCs/>
          <w:sz w:val="24"/>
          <w:szCs w:val="24"/>
        </w:rPr>
        <w:t>в том числе, указанным в Спецификации (Приложение № 1 к Договору), а также Применимого права.</w:t>
      </w:r>
    </w:p>
    <w:p>
      <w:pPr>
        <w:pStyle w:val="Normal"/>
        <w:widowControl/>
        <w:numPr>
          <w:ilvl w:val="1"/>
          <w:numId w:val="2"/>
        </w:numPr>
        <w:shd w:val="clear" w:color="auto" w:fill="FFFFFF"/>
        <w:tabs>
          <w:tab w:val="clear" w:pos="709"/>
          <w:tab w:val="left" w:pos="1134" w:leader="none"/>
        </w:tabs>
        <w:ind w:left="0" w:firstLine="709"/>
        <w:jc w:val="both"/>
        <w:rPr>
          <w:bCs/>
          <w:sz w:val="24"/>
          <w:szCs w:val="24"/>
        </w:rPr>
      </w:pPr>
      <w:r>
        <w:rPr>
          <w:bCs/>
          <w:sz w:val="24"/>
          <w:szCs w:val="24"/>
        </w:rPr>
        <w:t>Поставляемый Товар должен быть новым, не бывшим в употреблении, пригодным для использования по своему назначению. Поставщик гарантирует, что Товар принадлежит ему на законном основании, в споре, залоге или под арестом не состоит, и не обременен правами третьих лиц.</w:t>
      </w:r>
    </w:p>
    <w:p>
      <w:pPr>
        <w:pStyle w:val="ListParagraph"/>
        <w:widowControl/>
        <w:numPr>
          <w:ilvl w:val="1"/>
          <w:numId w:val="2"/>
        </w:numPr>
        <w:shd w:val="clear" w:color="auto" w:fill="FFFFFF"/>
        <w:tabs>
          <w:tab w:val="clear" w:pos="709"/>
          <w:tab w:val="left" w:pos="1134" w:leader="none"/>
        </w:tabs>
        <w:ind w:left="0" w:firstLine="709"/>
        <w:jc w:val="both"/>
        <w:rPr>
          <w:bCs/>
          <w:sz w:val="24"/>
          <w:szCs w:val="24"/>
        </w:rPr>
      </w:pPr>
      <w:r>
        <w:rPr>
          <w:bCs/>
          <w:sz w:val="24"/>
          <w:szCs w:val="24"/>
        </w:rPr>
        <w:t xml:space="preserve">Одновременно с передачей Товара Поставщик обязан передать Покупателю оригиналы следующих относящихся к Товару документов: </w:t>
      </w:r>
    </w:p>
    <w:p>
      <w:pPr>
        <w:pStyle w:val="Normal"/>
        <w:numPr>
          <w:ilvl w:val="0"/>
          <w:numId w:val="4"/>
        </w:numPr>
        <w:tabs>
          <w:tab w:val="clear" w:pos="709"/>
          <w:tab w:val="left" w:pos="1418" w:leader="none"/>
        </w:tabs>
        <w:ind w:left="0" w:firstLine="709"/>
        <w:jc w:val="both"/>
        <w:rPr>
          <w:sz w:val="24"/>
          <w:szCs w:val="24"/>
        </w:rPr>
      </w:pPr>
      <w:r>
        <w:rPr>
          <w:sz w:val="24"/>
          <w:szCs w:val="24"/>
        </w:rPr>
        <w:t>сертификат качества в 2 (двух) экз.;</w:t>
      </w:r>
    </w:p>
    <w:p>
      <w:pPr>
        <w:pStyle w:val="Normal"/>
        <w:numPr>
          <w:ilvl w:val="0"/>
          <w:numId w:val="4"/>
        </w:numPr>
        <w:tabs>
          <w:tab w:val="clear" w:pos="709"/>
          <w:tab w:val="left" w:pos="1418" w:leader="none"/>
        </w:tabs>
        <w:ind w:left="0" w:firstLine="709"/>
        <w:jc w:val="both"/>
        <w:rPr>
          <w:sz w:val="24"/>
          <w:szCs w:val="24"/>
        </w:rPr>
      </w:pPr>
      <w:r>
        <w:rPr>
          <w:sz w:val="24"/>
          <w:szCs w:val="24"/>
        </w:rPr>
        <w:t>технический паспорт на русском языке в 2 (двух) экз.;</w:t>
      </w:r>
    </w:p>
    <w:p>
      <w:pPr>
        <w:pStyle w:val="Normal"/>
        <w:numPr>
          <w:ilvl w:val="0"/>
          <w:numId w:val="4"/>
        </w:numPr>
        <w:tabs>
          <w:tab w:val="clear" w:pos="709"/>
          <w:tab w:val="left" w:pos="1418" w:leader="none"/>
        </w:tabs>
        <w:ind w:left="0" w:firstLine="709"/>
        <w:jc w:val="both"/>
        <w:rPr>
          <w:sz w:val="24"/>
          <w:szCs w:val="24"/>
        </w:rPr>
      </w:pPr>
      <w:r>
        <w:rPr>
          <w:sz w:val="24"/>
          <w:szCs w:val="24"/>
        </w:rPr>
        <w:t>инструкция по эксплуатации на русском языке в 2 (двух) экз.;</w:t>
      </w:r>
    </w:p>
    <w:p>
      <w:pPr>
        <w:pStyle w:val="Normal"/>
        <w:numPr>
          <w:ilvl w:val="0"/>
          <w:numId w:val="4"/>
        </w:numPr>
        <w:tabs>
          <w:tab w:val="clear" w:pos="709"/>
          <w:tab w:val="left" w:pos="1418" w:leader="none"/>
        </w:tabs>
        <w:ind w:left="0" w:firstLine="709"/>
        <w:jc w:val="both"/>
        <w:rPr>
          <w:sz w:val="24"/>
          <w:szCs w:val="24"/>
        </w:rPr>
      </w:pPr>
      <w:r>
        <w:rPr>
          <w:sz w:val="24"/>
          <w:szCs w:val="24"/>
        </w:rPr>
        <w:t>упаковочный лист в 2 (двух) экз.;</w:t>
      </w:r>
    </w:p>
    <w:p>
      <w:pPr>
        <w:pStyle w:val="Normal"/>
        <w:numPr>
          <w:ilvl w:val="0"/>
          <w:numId w:val="3"/>
        </w:numPr>
        <w:tabs>
          <w:tab w:val="clear" w:pos="709"/>
          <w:tab w:val="left" w:pos="1418" w:leader="none"/>
        </w:tabs>
        <w:ind w:left="0" w:firstLine="709"/>
        <w:jc w:val="both"/>
        <w:rPr>
          <w:sz w:val="24"/>
          <w:szCs w:val="24"/>
        </w:rPr>
      </w:pPr>
      <w:r>
        <w:rPr>
          <w:sz w:val="24"/>
          <w:szCs w:val="24"/>
        </w:rPr>
        <w:t>иные документы (сертификат соответствия, сертификат безопасности, сертификат пожаробезопасности, сертификат радиологической безопасности, санитарный сертификат, сертификат о происхождении товара и т.п.) в зависимости от номенклатуры поставляемого Товара;</w:t>
      </w:r>
    </w:p>
    <w:p>
      <w:pPr>
        <w:pStyle w:val="Normal"/>
        <w:numPr>
          <w:ilvl w:val="0"/>
          <w:numId w:val="3"/>
        </w:numPr>
        <w:shd w:val="clear" w:color="auto" w:fill="FFFFFF"/>
        <w:tabs>
          <w:tab w:val="clear" w:pos="709"/>
          <w:tab w:val="left" w:pos="1418" w:leader="none"/>
        </w:tabs>
        <w:ind w:left="0" w:firstLine="709"/>
        <w:jc w:val="both"/>
        <w:rPr>
          <w:sz w:val="24"/>
          <w:szCs w:val="24"/>
        </w:rPr>
      </w:pPr>
      <w:r>
        <w:rPr>
          <w:sz w:val="24"/>
          <w:szCs w:val="24"/>
        </w:rPr>
        <w:t>товарно-транспортная накладная формы № 1-Т (для учета товарно-материальных ценностей и расчетов за их перевозки) или транспортная железнодорожная накладная (форма № ГУ-27) в  2 (двух) экз.;</w:t>
      </w:r>
    </w:p>
    <w:p>
      <w:pPr>
        <w:pStyle w:val="Normal"/>
        <w:numPr>
          <w:ilvl w:val="0"/>
          <w:numId w:val="3"/>
        </w:numPr>
        <w:shd w:val="clear" w:color="auto" w:fill="FFFFFF"/>
        <w:tabs>
          <w:tab w:val="clear" w:pos="709"/>
          <w:tab w:val="left" w:pos="1418" w:leader="none"/>
        </w:tabs>
        <w:ind w:left="0" w:firstLine="709"/>
        <w:jc w:val="both"/>
        <w:rPr>
          <w:sz w:val="24"/>
          <w:szCs w:val="24"/>
        </w:rPr>
      </w:pPr>
      <w:r>
        <w:rPr>
          <w:sz w:val="24"/>
          <w:szCs w:val="24"/>
        </w:rPr>
        <w:t>накладная ТОРГ-12 в 2 (двух) экз/(УПД).</w:t>
      </w:r>
    </w:p>
    <w:p>
      <w:pPr>
        <w:pStyle w:val="ListParagraph"/>
        <w:widowControl/>
        <w:numPr>
          <w:ilvl w:val="1"/>
          <w:numId w:val="2"/>
        </w:numPr>
        <w:shd w:val="clear" w:color="auto" w:fill="FFFFFF"/>
        <w:tabs>
          <w:tab w:val="clear" w:pos="709"/>
          <w:tab w:val="left" w:pos="1134" w:leader="none"/>
          <w:tab w:val="left" w:pos="1418" w:leader="none"/>
        </w:tabs>
        <w:ind w:left="0" w:firstLine="709"/>
        <w:jc w:val="both"/>
        <w:rPr>
          <w:bCs/>
          <w:sz w:val="24"/>
          <w:szCs w:val="24"/>
        </w:rPr>
      </w:pPr>
      <w:r>
        <w:rPr>
          <w:bCs/>
          <w:sz w:val="24"/>
          <w:szCs w:val="24"/>
        </w:rPr>
        <w:t xml:space="preserve">Поставщик обязан обеспечить присутствие во время приемки Товара и в Месте поставки своего представителя, уполномоченного надлежащим образом оформленной доверенностью на передачу Товара Покупателю, подписание Акта рекламации. При отсутствии представителя Поставщика или отсутствии у такого представителя надлежащим образом оформленной доверенности Покупатель вправе отказаться от приемки Товара, при этом такой отказ не будет являться нарушением обязательств Покупателя по Договору. Стороны будут рассматривать неявку представителя Поставщика как просрочку поставки. </w:t>
      </w:r>
    </w:p>
    <w:p>
      <w:pPr>
        <w:pStyle w:val="ListParagraph"/>
        <w:shd w:val="clear" w:color="auto" w:fill="FFFFFF"/>
        <w:tabs>
          <w:tab w:val="clear" w:pos="709"/>
          <w:tab w:val="left" w:pos="1134" w:leader="none"/>
          <w:tab w:val="left" w:pos="1418" w:leader="none"/>
        </w:tabs>
        <w:ind w:left="0" w:firstLine="709"/>
        <w:jc w:val="both"/>
        <w:rPr>
          <w:bCs/>
          <w:sz w:val="24"/>
          <w:szCs w:val="24"/>
        </w:rPr>
      </w:pPr>
      <w:r>
        <w:rPr>
          <w:bCs/>
          <w:sz w:val="24"/>
          <w:szCs w:val="24"/>
        </w:rPr>
        <w:t>Оригинал доверенности представителя Поставщика подлежит передаче Покупателю.</w:t>
      </w:r>
    </w:p>
    <w:p>
      <w:pPr>
        <w:pStyle w:val="ListParagraph"/>
        <w:widowControl/>
        <w:numPr>
          <w:ilvl w:val="1"/>
          <w:numId w:val="2"/>
        </w:numPr>
        <w:shd w:val="clear" w:color="auto" w:fill="FFFFFF"/>
        <w:tabs>
          <w:tab w:val="clear" w:pos="709"/>
          <w:tab w:val="left" w:pos="1134" w:leader="none"/>
          <w:tab w:val="left" w:pos="1418" w:leader="none"/>
        </w:tabs>
        <w:ind w:left="0" w:firstLine="709"/>
        <w:jc w:val="both"/>
        <w:rPr>
          <w:bCs/>
          <w:sz w:val="24"/>
          <w:szCs w:val="24"/>
        </w:rPr>
      </w:pPr>
      <w:r>
        <w:rPr>
          <w:bCs/>
          <w:sz w:val="24"/>
          <w:szCs w:val="24"/>
        </w:rPr>
        <w:t>В случае неявки представителя Поставщика и / или его отказа от подписания Акта рекламации при приемке Товара, составленный и подписанный Покупателем в одностороннем порядке Акт рекламации будет являться достаточным основанием для применения к Поставщику мер ответственности, установленных Договором.</w:t>
      </w:r>
    </w:p>
    <w:p>
      <w:pPr>
        <w:pStyle w:val="ListParagraph"/>
        <w:widowControl/>
        <w:numPr>
          <w:ilvl w:val="1"/>
          <w:numId w:val="2"/>
        </w:numPr>
        <w:shd w:val="clear" w:color="auto" w:fill="FFFFFF"/>
        <w:tabs>
          <w:tab w:val="clear" w:pos="709"/>
          <w:tab w:val="left" w:pos="1134" w:leader="none"/>
          <w:tab w:val="left" w:pos="1418" w:leader="none"/>
        </w:tabs>
        <w:ind w:left="0" w:firstLine="709"/>
        <w:jc w:val="both"/>
        <w:rPr>
          <w:bCs/>
          <w:sz w:val="24"/>
          <w:szCs w:val="24"/>
        </w:rPr>
      </w:pPr>
      <w:bookmarkStart w:id="1" w:name="_Ref361408474"/>
      <w:r>
        <w:rPr>
          <w:bCs/>
          <w:sz w:val="24"/>
          <w:szCs w:val="24"/>
        </w:rPr>
        <w:t>Товар должен отгружаться Поставщиком в таре и упаковке, обеспечивающих полную сохранность Товара от всякого рода повреждений и порчи с учетом возможных перегрузок и длительного хранения.</w:t>
      </w:r>
      <w:bookmarkEnd w:id="1"/>
      <w:r>
        <w:rPr>
          <w:bCs/>
          <w:sz w:val="24"/>
          <w:szCs w:val="24"/>
        </w:rPr>
        <w:t xml:space="preserve"> Поставщик обязан сообщить Покупателю условия длительного хранения поставленного Товара (допускается определение условий хранения в сопроводительных документах). </w:t>
      </w:r>
    </w:p>
    <w:p>
      <w:pPr>
        <w:pStyle w:val="ListParagraph"/>
        <w:shd w:val="clear" w:color="auto" w:fill="FFFFFF"/>
        <w:tabs>
          <w:tab w:val="clear" w:pos="709"/>
          <w:tab w:val="left" w:pos="1418" w:leader="none"/>
        </w:tabs>
        <w:ind w:left="0" w:firstLine="709"/>
        <w:jc w:val="both"/>
        <w:rPr>
          <w:bCs/>
          <w:sz w:val="24"/>
          <w:szCs w:val="24"/>
        </w:rPr>
      </w:pPr>
      <w:r>
        <w:rPr>
          <w:bCs/>
          <w:sz w:val="24"/>
          <w:szCs w:val="24"/>
        </w:rPr>
        <w:t xml:space="preserve">Отдельные требования к упаковке и маркировке негабаритного Товара, </w:t>
        <w:br/>
        <w:t xml:space="preserve">а также любые другие специальные требования, помимо установленных в настоящем пункте Договора, указываются Сторонами в Спецификации (Приложение № 1 к Договору). </w:t>
      </w:r>
    </w:p>
    <w:p>
      <w:pPr>
        <w:pStyle w:val="ListParagraph"/>
        <w:shd w:val="clear" w:color="auto" w:fill="FFFFFF"/>
        <w:tabs>
          <w:tab w:val="clear" w:pos="709"/>
          <w:tab w:val="left" w:pos="1418" w:leader="none"/>
        </w:tabs>
        <w:ind w:left="0" w:firstLine="709"/>
        <w:jc w:val="both"/>
        <w:rPr>
          <w:bCs/>
          <w:sz w:val="24"/>
          <w:szCs w:val="24"/>
        </w:rPr>
      </w:pPr>
      <w:r>
        <w:rPr>
          <w:bCs/>
          <w:sz w:val="24"/>
          <w:szCs w:val="24"/>
        </w:rPr>
        <w:t xml:space="preserve">Стоимость тары и упаковки включена в стоимость Товара. Тара и упаковка возврату </w:t>
        <w:br/>
        <w:t xml:space="preserve">не подлежат. </w:t>
      </w:r>
    </w:p>
    <w:p>
      <w:pPr>
        <w:pStyle w:val="ListParagraph"/>
        <w:widowControl/>
        <w:numPr>
          <w:ilvl w:val="1"/>
          <w:numId w:val="2"/>
        </w:numPr>
        <w:shd w:val="clear" w:color="auto" w:fill="FFFFFF"/>
        <w:tabs>
          <w:tab w:val="clear" w:pos="709"/>
          <w:tab w:val="left" w:pos="1134" w:leader="none"/>
          <w:tab w:val="left" w:pos="1418" w:leader="none"/>
        </w:tabs>
        <w:ind w:left="0" w:firstLine="709"/>
        <w:jc w:val="both"/>
        <w:rPr>
          <w:sz w:val="24"/>
          <w:szCs w:val="24"/>
        </w:rPr>
      </w:pPr>
      <w:r>
        <w:rPr>
          <w:sz w:val="24"/>
          <w:szCs w:val="24"/>
        </w:rPr>
        <w:t xml:space="preserve">Погрузка, доставка, разгрузка и перемещение Товара (в том числе </w:t>
        <w:br/>
        <w:t xml:space="preserve">по территории Покупателя) </w:t>
      </w:r>
      <w:r>
        <w:rPr>
          <w:bCs/>
          <w:sz w:val="24"/>
          <w:szCs w:val="24"/>
        </w:rPr>
        <w:t>осуществляется</w:t>
      </w:r>
      <w:r>
        <w:rPr>
          <w:sz w:val="24"/>
          <w:szCs w:val="24"/>
        </w:rPr>
        <w:t xml:space="preserve"> Поставщиком. Стоимость погрузки, доставки, разгрузки и перемещения Товара включена в стоимость Товара.</w:t>
      </w:r>
    </w:p>
    <w:p>
      <w:pPr>
        <w:pStyle w:val="ListParagraph"/>
        <w:widowControl/>
        <w:numPr>
          <w:ilvl w:val="1"/>
          <w:numId w:val="2"/>
        </w:numPr>
        <w:shd w:val="clear" w:color="auto" w:fill="FFFFFF"/>
        <w:tabs>
          <w:tab w:val="clear" w:pos="709"/>
          <w:tab w:val="left" w:pos="1134" w:leader="none"/>
        </w:tabs>
        <w:ind w:left="0" w:firstLine="709"/>
        <w:jc w:val="both"/>
        <w:rPr>
          <w:sz w:val="24"/>
          <w:szCs w:val="24"/>
        </w:rPr>
      </w:pPr>
      <w:r>
        <w:rPr>
          <w:sz w:val="24"/>
          <w:szCs w:val="24"/>
        </w:rPr>
        <w:t xml:space="preserve">Досрочная поставка Товара допускается только при условии получения Поставщиком письменного согласия Покупателя. </w:t>
      </w:r>
    </w:p>
    <w:p>
      <w:pPr>
        <w:pStyle w:val="ListParagraph"/>
        <w:widowControl/>
        <w:numPr>
          <w:ilvl w:val="1"/>
          <w:numId w:val="2"/>
        </w:numPr>
        <w:shd w:val="clear" w:color="auto" w:fill="FFFFFF"/>
        <w:tabs>
          <w:tab w:val="clear" w:pos="709"/>
          <w:tab w:val="left" w:pos="1418" w:leader="none"/>
        </w:tabs>
        <w:ind w:left="0" w:firstLine="709"/>
        <w:jc w:val="both"/>
        <w:rPr>
          <w:sz w:val="24"/>
          <w:szCs w:val="24"/>
        </w:rPr>
      </w:pPr>
      <w:bookmarkStart w:id="2" w:name="_Ref361396594"/>
      <w:r>
        <w:rPr>
          <w:sz w:val="24"/>
          <w:szCs w:val="24"/>
        </w:rPr>
        <w:t xml:space="preserve">Датой поставки Товара является дата подписания Сторонами накладной </w:t>
        <w:br/>
        <w:t>ТОРГ-12/(УПД).</w:t>
      </w:r>
      <w:bookmarkEnd w:id="2"/>
      <w:r>
        <w:rPr>
          <w:sz w:val="24"/>
          <w:szCs w:val="24"/>
        </w:rPr>
        <w:t xml:space="preserve"> </w:t>
      </w:r>
    </w:p>
    <w:p>
      <w:pPr>
        <w:pStyle w:val="ListParagraph"/>
        <w:widowControl/>
        <w:numPr>
          <w:ilvl w:val="1"/>
          <w:numId w:val="2"/>
        </w:numPr>
        <w:shd w:val="clear" w:color="auto" w:fill="FFFFFF"/>
        <w:tabs>
          <w:tab w:val="clear" w:pos="709"/>
          <w:tab w:val="left" w:pos="1418" w:leader="none"/>
        </w:tabs>
        <w:ind w:left="0" w:firstLine="709"/>
        <w:jc w:val="both"/>
        <w:rPr>
          <w:sz w:val="24"/>
          <w:szCs w:val="24"/>
        </w:rPr>
      </w:pPr>
      <w:r>
        <w:rPr>
          <w:sz w:val="24"/>
          <w:szCs w:val="24"/>
        </w:rPr>
        <w:t xml:space="preserve">Приемка Товара по количеству тар и упаковок, в которых производилась отгрузка Товара, осуществляется Покупателем в день поставки в присутствии представителя Поставщика согласно представленным транспортным и сопроводительным документам, указанным в пункте 3.4 Договора. По результатам проверки количества упаковочных мест Покупатель подписывает представленные транспортные документы. </w:t>
      </w:r>
    </w:p>
    <w:p>
      <w:pPr>
        <w:pStyle w:val="ListParagraph"/>
        <w:widowControl/>
        <w:numPr>
          <w:ilvl w:val="1"/>
          <w:numId w:val="2"/>
        </w:numPr>
        <w:shd w:val="clear" w:color="auto" w:fill="FFFFFF"/>
        <w:tabs>
          <w:tab w:val="clear" w:pos="709"/>
          <w:tab w:val="left" w:pos="1418" w:leader="none"/>
        </w:tabs>
        <w:ind w:left="0" w:firstLine="709"/>
        <w:jc w:val="both"/>
        <w:rPr>
          <w:sz w:val="24"/>
          <w:szCs w:val="24"/>
        </w:rPr>
      </w:pPr>
      <w:r>
        <w:rPr>
          <w:sz w:val="24"/>
          <w:szCs w:val="24"/>
        </w:rPr>
        <w:t xml:space="preserve">При обнаружении фактов некомплектности, недопоставки Товара, отсутствия необходимых принадлежностей и / или документов, относящихся к Товару, Покупатель вправе прекратить приемку Товара до момента устранения выявленных нарушений. Поставщик обязан в течение 3 (трех) календарных дней с даты выявления указанных нарушений представить Покупателю необходимые принадлежности и / или документы, а также восполнить недопоставку Товара в срок, письменно согласованный с Покупателем. </w:t>
      </w:r>
    </w:p>
    <w:p>
      <w:pPr>
        <w:pStyle w:val="ListParagraph"/>
        <w:shd w:val="clear" w:color="auto" w:fill="FFFFFF"/>
        <w:tabs>
          <w:tab w:val="clear" w:pos="709"/>
          <w:tab w:val="left" w:pos="1418" w:leader="none"/>
        </w:tabs>
        <w:ind w:left="0" w:firstLine="709"/>
        <w:jc w:val="both"/>
        <w:rPr>
          <w:sz w:val="24"/>
          <w:szCs w:val="24"/>
        </w:rPr>
      </w:pPr>
      <w:bookmarkStart w:id="3" w:name="_Ref361408232"/>
      <w:r>
        <w:rPr>
          <w:sz w:val="24"/>
          <w:szCs w:val="24"/>
        </w:rPr>
        <w:t>Устранение допущенных нарушений не освобождает Поставщика от ответственности за убытки, причиненные Покупателю нарушением условий поставки.</w:t>
      </w:r>
      <w:bookmarkEnd w:id="3"/>
      <w:r>
        <w:rPr>
          <w:sz w:val="24"/>
          <w:szCs w:val="24"/>
        </w:rPr>
        <w:t xml:space="preserve"> </w:t>
      </w:r>
    </w:p>
    <w:p>
      <w:pPr>
        <w:pStyle w:val="ListParagraph"/>
        <w:widowControl/>
        <w:numPr>
          <w:ilvl w:val="1"/>
          <w:numId w:val="2"/>
        </w:numPr>
        <w:shd w:val="clear" w:color="auto" w:fill="FFFFFF"/>
        <w:tabs>
          <w:tab w:val="clear" w:pos="709"/>
          <w:tab w:val="left" w:pos="1418" w:leader="none"/>
        </w:tabs>
        <w:ind w:left="0" w:firstLine="709"/>
        <w:jc w:val="both"/>
        <w:rPr>
          <w:sz w:val="24"/>
          <w:szCs w:val="24"/>
        </w:rPr>
      </w:pPr>
      <w:r>
        <w:rPr>
          <w:sz w:val="24"/>
          <w:szCs w:val="24"/>
        </w:rPr>
        <w:t xml:space="preserve">Приемка Товара со вскрытием тары и упаковки производится Покупателем в присутствии представителя Поставщика в течение 10 (десяти) рабочих дней </w:t>
        <w:br/>
        <w:t>с даты подписания Покупателем транспортных документов. В случае отсутствия замечаний Покупатель подписывает накладную ТОРГ-12/(УПД).</w:t>
      </w:r>
    </w:p>
    <w:p>
      <w:pPr>
        <w:pStyle w:val="Normal"/>
        <w:numPr>
          <w:ilvl w:val="1"/>
          <w:numId w:val="2"/>
        </w:numPr>
        <w:shd w:val="clear" w:color="auto" w:fill="FFFFFF"/>
        <w:tabs>
          <w:tab w:val="clear" w:pos="709"/>
          <w:tab w:val="left" w:pos="568" w:leader="none"/>
          <w:tab w:val="left" w:pos="1134" w:leader="none"/>
          <w:tab w:val="left" w:pos="1418" w:leader="none"/>
        </w:tabs>
        <w:ind w:left="0" w:firstLine="709"/>
        <w:jc w:val="both"/>
        <w:rPr>
          <w:sz w:val="24"/>
          <w:szCs w:val="24"/>
        </w:rPr>
      </w:pPr>
      <w:r>
        <w:rPr>
          <w:sz w:val="24"/>
          <w:szCs w:val="24"/>
        </w:rPr>
        <w:t xml:space="preserve">В случае обнаружения внутри тары и упаковки недопоставки, некомплектности, недостатков, несоответствий и / или дефектов Товара, а также в случае отсутствия необходимых принадлежностей, относящихся к Товару, Стороны составляют Акт рекламации. В Акте рекламации Сторонами указываются, в том числе, сроки и способ устранения недостатков, несоответствий и / или дефектов Товара. </w:t>
      </w:r>
    </w:p>
    <w:p>
      <w:pPr>
        <w:pStyle w:val="Normal"/>
        <w:shd w:val="clear" w:color="auto" w:fill="FFFFFF"/>
        <w:tabs>
          <w:tab w:val="clear" w:pos="709"/>
          <w:tab w:val="left" w:pos="1134" w:leader="none"/>
          <w:tab w:val="left" w:pos="1418" w:leader="none"/>
          <w:tab w:val="left" w:pos="1851" w:leader="none"/>
        </w:tabs>
        <w:ind w:firstLine="709"/>
        <w:jc w:val="both"/>
        <w:rPr>
          <w:sz w:val="24"/>
          <w:szCs w:val="24"/>
        </w:rPr>
      </w:pPr>
      <w:r>
        <w:rPr>
          <w:sz w:val="24"/>
          <w:szCs w:val="24"/>
        </w:rPr>
        <w:t>Поставщик обязан своими силами и за свой счет устранить выявленные недостатки, несоответствия и / или дефекты Товара, в том числе путем его замены на новый, в течение 10 (десяти) календарных дней со дня составления Сторонами Акта рекламации, если иной способ и сроки не согласованы Сторонами. После устранения недостатков, несоответствий и / или дефектов Товара его приемка осуществляется в соответствии с настоящим разделом Договора.</w:t>
      </w:r>
    </w:p>
    <w:p>
      <w:pPr>
        <w:pStyle w:val="Normal"/>
        <w:shd w:val="clear" w:color="auto" w:fill="FFFFFF"/>
        <w:tabs>
          <w:tab w:val="clear" w:pos="709"/>
          <w:tab w:val="left" w:pos="1134" w:leader="none"/>
          <w:tab w:val="left" w:pos="1418" w:leader="none"/>
          <w:tab w:val="left" w:pos="1851" w:leader="none"/>
        </w:tabs>
        <w:ind w:firstLine="709"/>
        <w:jc w:val="both"/>
        <w:rPr>
          <w:sz w:val="24"/>
          <w:szCs w:val="24"/>
        </w:rPr>
      </w:pPr>
      <w:r>
        <w:rPr>
          <w:sz w:val="24"/>
          <w:szCs w:val="24"/>
        </w:rPr>
        <w:t>Покупатель вправе не производить любые платежи, предусмотренные Договором, до исполнения Поставщиком своих обязательств по Договору, при этом Покупатель не считается просрочившим, а Поставщик лишается права ссылаться на отсутствие платежа при просрочке поставки следующей Товара.</w:t>
      </w:r>
    </w:p>
    <w:p>
      <w:pPr>
        <w:pStyle w:val="Normal"/>
        <w:numPr>
          <w:ilvl w:val="1"/>
          <w:numId w:val="2"/>
        </w:numPr>
        <w:shd w:val="clear" w:color="auto" w:fill="FFFFFF"/>
        <w:tabs>
          <w:tab w:val="clear" w:pos="709"/>
          <w:tab w:val="left" w:pos="1418" w:leader="none"/>
        </w:tabs>
        <w:ind w:left="0" w:firstLine="709"/>
        <w:jc w:val="both"/>
        <w:rPr>
          <w:sz w:val="24"/>
          <w:szCs w:val="24"/>
        </w:rPr>
      </w:pPr>
      <w:r>
        <w:rPr>
          <w:sz w:val="24"/>
          <w:szCs w:val="24"/>
        </w:rPr>
        <w:t>В случае неисполнения Поставщиком обязательств по устранению выявленных недостатков, несоответствий и / или дефектов Товара в порядке, предусмотренном пунктами 3.12, 3.14 Договора, Покупатель вправе отказаться от приемки Товара, направив соответствующее письменное уведомление Поставщику. Поставщик не позднее 5 (пяти) рабочих дней с даты получения уведомления обязан обеспечить вывоз Товара, от которой отказался Покупатель, возвратить ее стоимость (ранее полученный авансовый платеж), а также возместить убытки, причиненные Покупателю ненадлежащим исполнением Договора, в том числе расходы на хранение Товара.</w:t>
      </w:r>
    </w:p>
    <w:p>
      <w:pPr>
        <w:pStyle w:val="Normal"/>
        <w:shd w:val="clear" w:color="auto" w:fill="FFFFFF"/>
        <w:tabs>
          <w:tab w:val="clear" w:pos="709"/>
          <w:tab w:val="left" w:pos="1283" w:leader="none"/>
          <w:tab w:val="left" w:pos="1851" w:leader="none"/>
        </w:tabs>
        <w:ind w:firstLine="709"/>
        <w:jc w:val="both"/>
        <w:rPr>
          <w:sz w:val="24"/>
          <w:szCs w:val="24"/>
        </w:rPr>
      </w:pPr>
      <w:r>
        <w:rPr>
          <w:sz w:val="24"/>
          <w:szCs w:val="24"/>
        </w:rPr>
        <w:t>Если Поставщик не вывезет Товар в указанный срок, Покупатель вправе самостоятельно возвратить Товар Поставщику. Расходы, понесенные Покупателем в связи с возвратом Товара, подлежат возмещению Поставщиком.</w:t>
      </w:r>
    </w:p>
    <w:p>
      <w:pPr>
        <w:pStyle w:val="ListParagraph"/>
        <w:widowControl/>
        <w:numPr>
          <w:ilvl w:val="1"/>
          <w:numId w:val="2"/>
        </w:numPr>
        <w:shd w:val="clear" w:color="auto" w:fill="FFFFFF"/>
        <w:tabs>
          <w:tab w:val="clear" w:pos="709"/>
          <w:tab w:val="left" w:pos="1134" w:leader="none"/>
          <w:tab w:val="left" w:pos="1418" w:leader="none"/>
        </w:tabs>
        <w:ind w:left="0" w:firstLine="709"/>
        <w:jc w:val="both"/>
        <w:rPr>
          <w:b/>
          <w:color w:val="000000"/>
          <w:sz w:val="24"/>
          <w:szCs w:val="24"/>
        </w:rPr>
      </w:pPr>
      <w:r>
        <w:rPr>
          <w:sz w:val="24"/>
          <w:szCs w:val="24"/>
        </w:rPr>
        <w:t>По иным вопросам, касающимся приемки Товара по количеству, качеству и комплектности, в части не противоречащей законодательству Российской Федерации и условиям Договора, Стороны руководствуются Инструкцией Госарбитража при Совете Министров СССР от 15.06.1965 № П-6 (за исключением пунктов 18, 21, 29-32), Инструкцией Госарбитража при Совете Министров СССР от 25.04.1966 № П-7 (за исключением пунктов 20, 23, абзаца 3 пункта 30, 35, 38-42).</w:t>
      </w:r>
      <w:r>
        <w:rPr>
          <w:b/>
          <w:bCs/>
          <w:color w:val="000000"/>
          <w:sz w:val="24"/>
          <w:szCs w:val="24"/>
        </w:rPr>
        <w:t xml:space="preserve"> </w:t>
      </w:r>
    </w:p>
    <w:p>
      <w:pPr>
        <w:pStyle w:val="ListParagraph"/>
        <w:widowControl/>
        <w:numPr>
          <w:ilvl w:val="1"/>
          <w:numId w:val="2"/>
        </w:numPr>
        <w:shd w:val="clear" w:color="auto" w:fill="FFFFFF"/>
        <w:tabs>
          <w:tab w:val="clear" w:pos="709"/>
          <w:tab w:val="left" w:pos="1134" w:leader="none"/>
          <w:tab w:val="left" w:pos="1418" w:leader="none"/>
        </w:tabs>
        <w:ind w:left="0" w:firstLine="709"/>
        <w:jc w:val="both"/>
        <w:rPr>
          <w:sz w:val="24"/>
          <w:szCs w:val="24"/>
        </w:rPr>
      </w:pPr>
      <w:r>
        <w:rPr>
          <w:sz w:val="24"/>
          <w:szCs w:val="24"/>
        </w:rPr>
        <w:t>Право собственности на Товар, а также риск его случайной гибели или случайного повреждения переходит от Поставщика к Покупателю с момента подписания Сторонами накладной ТОРГ-12/(УПД).</w:t>
      </w:r>
    </w:p>
    <w:p>
      <w:pPr>
        <w:pStyle w:val="Normal"/>
        <w:shd w:val="clear" w:color="auto" w:fill="FFFFFF"/>
        <w:ind w:firstLine="709"/>
        <w:jc w:val="both"/>
        <w:rPr>
          <w:sz w:val="24"/>
          <w:szCs w:val="24"/>
        </w:rPr>
      </w:pPr>
      <w:r>
        <w:rPr>
          <w:sz w:val="24"/>
          <w:szCs w:val="24"/>
        </w:rPr>
      </w:r>
    </w:p>
    <w:p>
      <w:pPr>
        <w:pStyle w:val="ListParagraph"/>
        <w:numPr>
          <w:ilvl w:val="0"/>
          <w:numId w:val="2"/>
        </w:numPr>
        <w:shd w:val="clear" w:color="auto" w:fill="FFFFFF"/>
        <w:tabs>
          <w:tab w:val="clear" w:pos="709"/>
          <w:tab w:val="left" w:pos="284" w:leader="none"/>
        </w:tabs>
        <w:ind w:left="357" w:hanging="357"/>
        <w:jc w:val="center"/>
        <w:rPr>
          <w:b/>
          <w:sz w:val="24"/>
          <w:szCs w:val="24"/>
        </w:rPr>
      </w:pPr>
      <w:r>
        <w:rPr>
          <w:b/>
          <w:sz w:val="24"/>
          <w:szCs w:val="24"/>
        </w:rPr>
        <w:t>Гарантийный срок</w:t>
      </w:r>
    </w:p>
    <w:p>
      <w:pPr>
        <w:pStyle w:val="ListParagraph"/>
        <w:numPr>
          <w:ilvl w:val="1"/>
          <w:numId w:val="2"/>
        </w:numPr>
        <w:tabs>
          <w:tab w:val="left" w:pos="709" w:leader="none"/>
          <w:tab w:val="left" w:pos="1134" w:leader="none"/>
        </w:tabs>
        <w:ind w:left="0" w:firstLine="709"/>
        <w:jc w:val="both"/>
        <w:rPr>
          <w:sz w:val="24"/>
          <w:szCs w:val="24"/>
        </w:rPr>
      </w:pPr>
      <w:r>
        <w:rPr>
          <w:sz w:val="24"/>
          <w:szCs w:val="24"/>
        </w:rPr>
        <w:t xml:space="preserve">Гарантийный срок на Товар, поставленный по Договору, составляет 12 (двенадцать) месяцев и начинает течь с даты подписания Сторонами накладной ТОРГ-12/УПД. Гарантийный срок может быть продлен в соответствии с условиями Договора. </w:t>
      </w:r>
    </w:p>
    <w:p>
      <w:pPr>
        <w:pStyle w:val="ListParagraph"/>
        <w:tabs>
          <w:tab w:val="clear" w:pos="709"/>
          <w:tab w:val="left" w:pos="1134" w:leader="none"/>
          <w:tab w:val="left" w:pos="1851" w:leader="none"/>
        </w:tabs>
        <w:ind w:left="0" w:firstLine="709"/>
        <w:jc w:val="both"/>
        <w:rPr>
          <w:sz w:val="24"/>
          <w:szCs w:val="24"/>
        </w:rPr>
      </w:pPr>
      <w:r>
        <w:rPr>
          <w:sz w:val="24"/>
          <w:szCs w:val="24"/>
        </w:rPr>
        <w:t>Установленный в отношении Товара Гарантийный срок распространяется на все составные части и комплектующие Товара.</w:t>
      </w:r>
    </w:p>
    <w:p>
      <w:pPr>
        <w:pStyle w:val="Normal"/>
        <w:numPr>
          <w:ilvl w:val="1"/>
          <w:numId w:val="2"/>
        </w:numPr>
        <w:shd w:val="clear" w:color="auto" w:fill="FFFFFF"/>
        <w:tabs>
          <w:tab w:val="clear" w:pos="709"/>
          <w:tab w:val="left" w:pos="1134" w:leader="none"/>
        </w:tabs>
        <w:ind w:left="0" w:firstLine="709"/>
        <w:jc w:val="both"/>
        <w:rPr>
          <w:sz w:val="24"/>
          <w:szCs w:val="24"/>
        </w:rPr>
      </w:pPr>
      <w:r>
        <w:rPr>
          <w:sz w:val="24"/>
          <w:szCs w:val="24"/>
        </w:rPr>
        <w:t xml:space="preserve">В течение Гарантийного срока Поставщик гарантирует соответствие качества Товара требованиям Договора, технического паспорта и иных документов, относящихся к Товару, и Применимого права, возможность эксплуатации (использования) Товара в соответствии с его целевым назначением, а также несет безусловную ответственность за обнаруженные недостатки, несоответствия и / или дефекты Товара, если не докажет, что такие недостатки, несоответствия и / или дефекты явились следствием несоблюдения Покупателем требований по использованию Товара, установленных в инструкциях и иных документах, переданных Покупателю в соответствии с пунктом 3.4 Договора. </w:t>
      </w:r>
    </w:p>
    <w:p>
      <w:pPr>
        <w:pStyle w:val="Normal"/>
        <w:numPr>
          <w:ilvl w:val="1"/>
          <w:numId w:val="2"/>
        </w:numPr>
        <w:shd w:val="clear" w:color="auto" w:fill="FFFFFF"/>
        <w:tabs>
          <w:tab w:val="clear" w:pos="709"/>
          <w:tab w:val="left" w:pos="1134" w:leader="none"/>
        </w:tabs>
        <w:ind w:left="0" w:firstLine="709"/>
        <w:jc w:val="both"/>
        <w:rPr>
          <w:sz w:val="24"/>
          <w:szCs w:val="24"/>
        </w:rPr>
      </w:pPr>
      <w:r>
        <w:rPr>
          <w:sz w:val="24"/>
          <w:szCs w:val="24"/>
        </w:rPr>
        <w:t>В случае обнаружения в течение Гарантийного срока недостатков, несоответствий и / или (дефектов) Товара Покупатель направляет Поставщику соответствующее письменное уведомление, в котором указывает перечень выявленных недостатков (дефектов) Товара и разумный срок на их устранение. Поставщик, в случае наличия разногласий, в течение 3 (трех) рабочих дней с даты получения письменного уведомления Покупателя, направляет своего уполномоченного представителя для составления Акта о недостатках, несоответствиях и / или дефектах. Если к указанному в настоящем пункте сроку представитель Поставщика не прибудет, Акт о недостатках, несоответствиях и / или дефектах будет составлен Покупателем в одностороннем порядке и будет признан Сторонами действительным.</w:t>
      </w:r>
    </w:p>
    <w:p>
      <w:pPr>
        <w:pStyle w:val="Normal"/>
        <w:numPr>
          <w:ilvl w:val="1"/>
          <w:numId w:val="2"/>
        </w:numPr>
        <w:shd w:val="clear" w:color="auto" w:fill="FFFFFF"/>
        <w:tabs>
          <w:tab w:val="clear" w:pos="709"/>
          <w:tab w:val="left" w:pos="1134" w:leader="none"/>
        </w:tabs>
        <w:ind w:left="0" w:firstLine="709"/>
        <w:jc w:val="both"/>
        <w:rPr>
          <w:sz w:val="24"/>
          <w:szCs w:val="24"/>
        </w:rPr>
      </w:pPr>
      <w:r>
        <w:rPr>
          <w:sz w:val="24"/>
          <w:szCs w:val="24"/>
        </w:rPr>
        <w:t xml:space="preserve">Поставщик обязан своими силами и за свой счет устранить недостатки, несоответствия и / или дефекты Товара, обнаруженные Покупателем в течение Гарантийного срока, в срок, указанный </w:t>
      </w:r>
      <w:bookmarkStart w:id="4" w:name="OLE_LINK5"/>
      <w:bookmarkStart w:id="5" w:name="OLE_LINK6"/>
      <w:r>
        <w:rPr>
          <w:sz w:val="24"/>
          <w:szCs w:val="24"/>
        </w:rPr>
        <w:t>Покупателем в соответствии с пунктом 4.3 Договора</w:t>
      </w:r>
      <w:bookmarkEnd w:id="4"/>
      <w:bookmarkEnd w:id="5"/>
      <w:r>
        <w:rPr>
          <w:sz w:val="24"/>
          <w:szCs w:val="24"/>
        </w:rPr>
        <w:t xml:space="preserve">, путем замены или ремонта Товара. </w:t>
      </w:r>
    </w:p>
    <w:p>
      <w:pPr>
        <w:pStyle w:val="Normal"/>
        <w:shd w:val="clear" w:color="auto" w:fill="FFFFFF"/>
        <w:ind w:firstLine="709"/>
        <w:jc w:val="both"/>
        <w:rPr>
          <w:sz w:val="24"/>
          <w:szCs w:val="24"/>
        </w:rPr>
      </w:pPr>
      <w:r>
        <w:rPr>
          <w:sz w:val="24"/>
          <w:szCs w:val="24"/>
        </w:rPr>
        <w:t xml:space="preserve">Устранение недостатков (дефектов) путем ремонта Товара может осуществляться только по письменному согласованию с Покупателем. Поставщик вправе по согласованию с Покупателем вместо замены или ремонта Товара возвратить Покупателю его стоимость (ранее полученный авансовый платеж). Вывоз Товара для целей устранения недостатков (дефектов) осуществляется силами Поставщика и за его счет.  </w:t>
      </w:r>
    </w:p>
    <w:p>
      <w:pPr>
        <w:pStyle w:val="Normal"/>
        <w:numPr>
          <w:ilvl w:val="1"/>
          <w:numId w:val="2"/>
        </w:numPr>
        <w:shd w:val="clear" w:color="auto" w:fill="FFFFFF"/>
        <w:tabs>
          <w:tab w:val="clear" w:pos="709"/>
          <w:tab w:val="left" w:pos="1134" w:leader="none"/>
        </w:tabs>
        <w:ind w:left="0" w:firstLine="709"/>
        <w:jc w:val="both"/>
        <w:rPr>
          <w:sz w:val="24"/>
          <w:szCs w:val="24"/>
        </w:rPr>
      </w:pPr>
      <w:r>
        <w:rPr>
          <w:sz w:val="24"/>
          <w:szCs w:val="24"/>
        </w:rPr>
        <w:t>Если Поставщик не устранит недостатки (дефекты) Товара в установленный Покупателем срок, Покупатель вправе устранить их собственными силами или силами третьих лиц, с отнесением на Поставщика соответствующих расходов. Поставщик обязан возместить расходы Покупателя на устранение недостатков, несоответствий и / или дефектов Товара в течение 10 (десяти) рабочих дней с даты получения соответствующего письменного требования Покупателя.</w:t>
      </w:r>
    </w:p>
    <w:p>
      <w:pPr>
        <w:pStyle w:val="Normal"/>
        <w:numPr>
          <w:ilvl w:val="1"/>
          <w:numId w:val="2"/>
        </w:numPr>
        <w:shd w:val="clear" w:color="auto" w:fill="FFFFFF"/>
        <w:tabs>
          <w:tab w:val="clear" w:pos="709"/>
          <w:tab w:val="left" w:pos="1134" w:leader="none"/>
        </w:tabs>
        <w:ind w:left="0" w:firstLine="709"/>
        <w:jc w:val="both"/>
        <w:rPr>
          <w:sz w:val="24"/>
          <w:szCs w:val="24"/>
        </w:rPr>
      </w:pPr>
      <w:r>
        <w:rPr>
          <w:sz w:val="24"/>
          <w:szCs w:val="24"/>
        </w:rPr>
        <w:t>Гарантийный срок на Товар увеличивается на тот период времени, в течение которого Покупатель не мог эксплуатировать (использовать) Товар вследствие его недостатков (дефектов). Гарантийный срок на замененную или отремонтированную единицу Товара устанавливается продолжительностью, указанной в пункте 4.1 Договора, и начинает исчисляться заново с даты приемки Покупателем замененной единицы Товара или работ по устранению недостатков (дефектов).</w:t>
      </w:r>
    </w:p>
    <w:p>
      <w:pPr>
        <w:pStyle w:val="Normal"/>
        <w:numPr>
          <w:ilvl w:val="1"/>
          <w:numId w:val="2"/>
        </w:numPr>
        <w:shd w:val="clear" w:color="auto" w:fill="FFFFFF"/>
        <w:tabs>
          <w:tab w:val="clear" w:pos="709"/>
          <w:tab w:val="left" w:pos="1134" w:leader="none"/>
        </w:tabs>
        <w:ind w:left="0" w:firstLine="709"/>
        <w:jc w:val="both"/>
        <w:rPr>
          <w:sz w:val="24"/>
          <w:szCs w:val="24"/>
        </w:rPr>
      </w:pPr>
      <w:r>
        <w:rPr>
          <w:sz w:val="24"/>
          <w:szCs w:val="24"/>
        </w:rPr>
        <w:t xml:space="preserve">Устранение недостатков, несоответствий и / или дефектов Товара или возврат его стоимости, в том числе в рамках срока, установленного в соответствии с пунктом 4.3 Договора, не освобождает Поставщика от обязанности возмещения убытков, причиненных Покупателю вследствие наличия таких недостатков (дефектов). </w:t>
      </w:r>
    </w:p>
    <w:p>
      <w:pPr>
        <w:pStyle w:val="Normal"/>
        <w:rPr/>
      </w:pPr>
      <w:r>
        <w:rPr/>
      </w:r>
    </w:p>
    <w:p>
      <w:pPr>
        <w:pStyle w:val="Normal"/>
        <w:numPr>
          <w:ilvl w:val="0"/>
          <w:numId w:val="2"/>
        </w:numPr>
        <w:shd w:val="clear" w:color="auto" w:fill="FFFFFF"/>
        <w:tabs>
          <w:tab w:val="clear" w:pos="709"/>
          <w:tab w:val="left" w:pos="284" w:leader="none"/>
        </w:tabs>
        <w:ind w:left="0" w:hanging="0"/>
        <w:jc w:val="center"/>
        <w:rPr>
          <w:b/>
          <w:bCs/>
          <w:sz w:val="24"/>
          <w:szCs w:val="24"/>
        </w:rPr>
      </w:pPr>
      <w:r>
        <w:rPr>
          <w:b/>
          <w:bCs/>
          <w:sz w:val="24"/>
          <w:szCs w:val="24"/>
        </w:rPr>
        <w:t>Ответственность Сторон</w:t>
      </w:r>
    </w:p>
    <w:p>
      <w:pPr>
        <w:pStyle w:val="ListParagraph"/>
        <w:numPr>
          <w:ilvl w:val="1"/>
          <w:numId w:val="2"/>
        </w:numPr>
        <w:tabs>
          <w:tab w:val="clear" w:pos="709"/>
          <w:tab w:val="left" w:pos="1134" w:leader="none"/>
        </w:tabs>
        <w:ind w:left="0" w:firstLine="709"/>
        <w:jc w:val="both"/>
        <w:rPr>
          <w:sz w:val="24"/>
          <w:szCs w:val="24"/>
        </w:rPr>
      </w:pPr>
      <w:r>
        <w:rPr>
          <w:sz w:val="24"/>
          <w:szCs w:val="24"/>
        </w:rPr>
        <w:t xml:space="preserve">За неисполнение или ненадлежащее исполнение обязательств по Договору Стороны несут ответственность в соответствии с законодательством Российской Федерации и Договором. Меры ответственности, предусмотренные Договором, не освобождают Стороны от ответственности, установленной законодательством Российской Федерации и должны рассматриваться как дополнительные, если Договором прямо не предусмотрено иное. </w:t>
      </w:r>
    </w:p>
    <w:p>
      <w:pPr>
        <w:pStyle w:val="Normal"/>
        <w:widowControl/>
        <w:numPr>
          <w:ilvl w:val="1"/>
          <w:numId w:val="2"/>
        </w:numPr>
        <w:shd w:val="clear" w:color="auto" w:fill="FFFFFF"/>
        <w:tabs>
          <w:tab w:val="clear" w:pos="709"/>
          <w:tab w:val="left" w:pos="1134" w:leader="none"/>
        </w:tabs>
        <w:ind w:left="0" w:firstLine="709"/>
        <w:jc w:val="both"/>
        <w:rPr>
          <w:bCs/>
          <w:sz w:val="24"/>
          <w:szCs w:val="24"/>
        </w:rPr>
      </w:pPr>
      <w:r>
        <w:rPr>
          <w:bCs/>
          <w:sz w:val="24"/>
          <w:szCs w:val="24"/>
        </w:rPr>
        <w:t xml:space="preserve">Покупатель не несет ответственности за ненадлежащее исполнение обязательств </w:t>
        <w:br/>
        <w:t>по внесению предварительной оплаты (аванса). В случае нарушения Покупателем срока выплаты авансового платежа Поставщик имеет право приостановить поставку Товара по Договору при условии предварительного письменного уведомления Покупателя о таком приостановлении.</w:t>
      </w:r>
    </w:p>
    <w:p>
      <w:pPr>
        <w:pStyle w:val="Normal"/>
        <w:widowControl/>
        <w:numPr>
          <w:ilvl w:val="1"/>
          <w:numId w:val="2"/>
        </w:numPr>
        <w:tabs>
          <w:tab w:val="clear" w:pos="709"/>
          <w:tab w:val="left" w:pos="1134" w:leader="none"/>
        </w:tabs>
        <w:ind w:left="0" w:firstLine="709"/>
        <w:jc w:val="both"/>
        <w:rPr>
          <w:bCs/>
          <w:sz w:val="24"/>
          <w:szCs w:val="24"/>
        </w:rPr>
      </w:pPr>
      <w:r>
        <w:rPr>
          <w:bCs/>
          <w:sz w:val="24"/>
          <w:szCs w:val="24"/>
        </w:rPr>
        <w:t xml:space="preserve">В случае </w:t>
      </w:r>
      <w:r>
        <w:rPr>
          <w:sz w:val="24"/>
          <w:szCs w:val="24"/>
        </w:rPr>
        <w:t>нарушения Поставщиком обязательств по поставке Товара (</w:t>
      </w:r>
      <w:r>
        <w:rPr>
          <w:rFonts w:eastAsia="Calibri"/>
          <w:bCs/>
          <w:sz w:val="24"/>
          <w:szCs w:val="24"/>
        </w:rPr>
        <w:t>нарушение срока поставки, недопоставка)</w:t>
      </w:r>
      <w:r>
        <w:rPr>
          <w:sz w:val="24"/>
          <w:szCs w:val="24"/>
        </w:rPr>
        <w:t>, Покупатель вправе требовать уплаты Поставщиком н</w:t>
      </w:r>
      <w:r>
        <w:rPr>
          <w:rFonts w:eastAsia="Calibri"/>
          <w:bCs/>
          <w:sz w:val="24"/>
          <w:szCs w:val="24"/>
        </w:rPr>
        <w:t xml:space="preserve">еустойки в размере 0,1 (ноль целых и одна десятая) </w:t>
      </w:r>
      <w:r>
        <w:rPr>
          <w:bCs/>
          <w:sz w:val="24"/>
          <w:szCs w:val="24"/>
        </w:rPr>
        <w:t>процента от Цены</w:t>
      </w:r>
      <w:r>
        <w:rPr>
          <w:rFonts w:eastAsia="Calibri"/>
          <w:bCs/>
          <w:sz w:val="24"/>
          <w:szCs w:val="24"/>
        </w:rPr>
        <w:t xml:space="preserve"> Договора</w:t>
      </w:r>
      <w:r>
        <w:rPr>
          <w:bCs/>
          <w:sz w:val="24"/>
          <w:szCs w:val="24"/>
        </w:rPr>
        <w:t xml:space="preserve"> за каждый день просрочки.</w:t>
      </w:r>
    </w:p>
    <w:p>
      <w:pPr>
        <w:pStyle w:val="Normal"/>
        <w:widowControl/>
        <w:numPr>
          <w:ilvl w:val="1"/>
          <w:numId w:val="2"/>
        </w:numPr>
        <w:tabs>
          <w:tab w:val="clear" w:pos="709"/>
          <w:tab w:val="left" w:pos="1134" w:leader="none"/>
        </w:tabs>
        <w:ind w:left="0" w:firstLine="709"/>
        <w:jc w:val="both"/>
        <w:rPr>
          <w:bCs/>
          <w:sz w:val="24"/>
          <w:szCs w:val="24"/>
        </w:rPr>
      </w:pPr>
      <w:r>
        <w:rPr>
          <w:rFonts w:eastAsia="Calibri"/>
          <w:bCs/>
          <w:sz w:val="24"/>
          <w:szCs w:val="24"/>
        </w:rPr>
        <w:t>В случае несвоевременного устранения Поставщиком выявленных недостатков Товара,  Покупатель вправе требовать уплаты Поставщиком:</w:t>
      </w:r>
    </w:p>
    <w:p>
      <w:pPr>
        <w:pStyle w:val="ListParagraph"/>
        <w:widowControl/>
        <w:numPr>
          <w:ilvl w:val="2"/>
          <w:numId w:val="2"/>
        </w:numPr>
        <w:tabs>
          <w:tab w:val="clear" w:pos="709"/>
          <w:tab w:val="left" w:pos="1418" w:leader="none"/>
          <w:tab w:val="left" w:pos="1701" w:leader="none"/>
          <w:tab w:val="left" w:pos="1985" w:leader="none"/>
        </w:tabs>
        <w:ind w:left="0" w:firstLine="709"/>
        <w:jc w:val="both"/>
        <w:rPr>
          <w:bCs/>
          <w:sz w:val="24"/>
          <w:szCs w:val="24"/>
        </w:rPr>
      </w:pPr>
      <w:r>
        <w:rPr>
          <w:bCs/>
          <w:sz w:val="24"/>
          <w:szCs w:val="24"/>
        </w:rPr>
        <w:t xml:space="preserve">Неустойки в размере 0,1 </w:t>
      </w:r>
      <w:r>
        <w:rPr>
          <w:sz w:val="24"/>
          <w:szCs w:val="24"/>
        </w:rPr>
        <w:t>(ноль целых и одна десятая) процента</w:t>
      </w:r>
      <w:r>
        <w:rPr>
          <w:bCs/>
          <w:sz w:val="24"/>
          <w:szCs w:val="24"/>
        </w:rPr>
        <w:t xml:space="preserve"> от Цены Договора за каждый день просрочки – в случае несвоевременного устранения недостатков, влияющих на возможность эксплуатации (использования) Товара в целом</w:t>
      </w:r>
      <w:r>
        <w:rPr>
          <w:rFonts w:eastAsia="Calibri"/>
          <w:bCs/>
          <w:sz w:val="24"/>
          <w:szCs w:val="24"/>
        </w:rPr>
        <w:t>;</w:t>
      </w:r>
    </w:p>
    <w:p>
      <w:pPr>
        <w:pStyle w:val="ListParagraph"/>
        <w:widowControl/>
        <w:numPr>
          <w:ilvl w:val="2"/>
          <w:numId w:val="2"/>
        </w:numPr>
        <w:tabs>
          <w:tab w:val="clear" w:pos="709"/>
          <w:tab w:val="left" w:pos="1418" w:leader="none"/>
          <w:tab w:val="left" w:pos="1701" w:leader="none"/>
          <w:tab w:val="left" w:pos="1985" w:leader="none"/>
        </w:tabs>
        <w:ind w:left="0" w:firstLine="709"/>
        <w:jc w:val="both"/>
        <w:rPr>
          <w:bCs/>
          <w:sz w:val="24"/>
          <w:szCs w:val="24"/>
        </w:rPr>
      </w:pPr>
      <w:r>
        <w:rPr>
          <w:rFonts w:eastAsia="Calibri"/>
          <w:bCs/>
          <w:sz w:val="24"/>
          <w:szCs w:val="24"/>
        </w:rPr>
        <w:t>Неустойки в размере 0,1 (ноль целых и одна десятая) процента от стоимости некачественного Товара за каждый день просрочки – в случае несвоевременного устранения недостатков Товара, не влияющих на возможность эксплуатации (использования) Товара в целом.</w:t>
      </w:r>
    </w:p>
    <w:p>
      <w:pPr>
        <w:pStyle w:val="ListParagraph"/>
        <w:widowControl/>
        <w:numPr>
          <w:ilvl w:val="1"/>
          <w:numId w:val="2"/>
        </w:numPr>
        <w:tabs>
          <w:tab w:val="clear" w:pos="709"/>
          <w:tab w:val="left" w:pos="1134" w:leader="none"/>
          <w:tab w:val="left" w:pos="1701" w:leader="none"/>
        </w:tabs>
        <w:ind w:left="0" w:firstLine="709"/>
        <w:jc w:val="both"/>
        <w:rPr>
          <w:sz w:val="24"/>
          <w:szCs w:val="24"/>
        </w:rPr>
      </w:pPr>
      <w:r>
        <w:rPr>
          <w:rFonts w:eastAsia="Calibri"/>
          <w:bCs/>
          <w:sz w:val="24"/>
          <w:szCs w:val="24"/>
        </w:rPr>
        <w:t>На сумму подлежащего возврату аванса начисляется неустойка в размере 0,1 (ноль целых и одна десятая) процента с даты, установленной для возврата аванса</w:t>
      </w:r>
      <w:r>
        <w:rPr>
          <w:sz w:val="24"/>
          <w:szCs w:val="24"/>
        </w:rPr>
        <w:t>.</w:t>
      </w:r>
    </w:p>
    <w:p>
      <w:pPr>
        <w:pStyle w:val="ListParagraph"/>
        <w:widowControl/>
        <w:numPr>
          <w:ilvl w:val="1"/>
          <w:numId w:val="2"/>
        </w:numPr>
        <w:shd w:val="clear" w:color="auto" w:fill="FFFFFF"/>
        <w:tabs>
          <w:tab w:val="clear" w:pos="709"/>
          <w:tab w:val="left" w:pos="1134" w:leader="none"/>
        </w:tabs>
        <w:ind w:left="0" w:firstLine="709"/>
        <w:jc w:val="both"/>
        <w:rPr>
          <w:bCs/>
          <w:sz w:val="24"/>
          <w:szCs w:val="24"/>
        </w:rPr>
      </w:pPr>
      <w:r>
        <w:rPr>
          <w:bCs/>
          <w:sz w:val="24"/>
          <w:szCs w:val="24"/>
        </w:rPr>
        <w:t xml:space="preserve">В случае нарушения Поставщиком требований пропускного и внутриобъектового режима, требований охраны труда, пожарной и промышленной безопасности, если они зафиксированы Покупателем или уполномоченным государственным органом, Покупатель, помимо возмещения убытков, вправе требовать уплаты Поставщиком штрафа в размерах, установленных Приложением № 3 к Договору. </w:t>
      </w:r>
    </w:p>
    <w:p>
      <w:pPr>
        <w:pStyle w:val="ListParagraph"/>
        <w:widowControl/>
        <w:numPr>
          <w:ilvl w:val="1"/>
          <w:numId w:val="2"/>
        </w:numPr>
        <w:shd w:val="clear" w:color="auto" w:fill="FFFFFF"/>
        <w:tabs>
          <w:tab w:val="clear" w:pos="709"/>
          <w:tab w:val="left" w:pos="1134" w:leader="none"/>
        </w:tabs>
        <w:ind w:left="0" w:firstLine="709"/>
        <w:jc w:val="both"/>
        <w:rPr>
          <w:bCs/>
          <w:sz w:val="24"/>
          <w:szCs w:val="24"/>
        </w:rPr>
      </w:pPr>
      <w:r>
        <w:rPr>
          <w:bCs/>
          <w:sz w:val="24"/>
          <w:szCs w:val="24"/>
        </w:rPr>
        <w:t xml:space="preserve">Если в результате составления и выставления Поставщиком счетов-фактур (УПД) </w:t>
        <w:br/>
        <w:t xml:space="preserve">с нарушением порядка и требований, установленных законодательством Российской Федерации, Покупатель понес расходы, связанные с начислением налоговыми органами </w:t>
        <w:br/>
        <w:t xml:space="preserve">по такому основанию сумм НДС, пеней и налоговых санкций, Поставщик обязан компенсировать Покупателю сумму таких расходов. </w:t>
      </w:r>
    </w:p>
    <w:p>
      <w:pPr>
        <w:pStyle w:val="ListParagraph"/>
        <w:widowControl/>
        <w:numPr>
          <w:ilvl w:val="0"/>
          <w:numId w:val="0"/>
        </w:numPr>
        <w:shd w:val="clear" w:color="auto" w:fill="FFFFFF"/>
        <w:tabs>
          <w:tab w:val="clear" w:pos="709"/>
          <w:tab w:val="left" w:pos="1134" w:leader="none"/>
        </w:tabs>
        <w:ind w:left="0" w:hanging="0"/>
        <w:jc w:val="both"/>
        <w:rPr>
          <w:bCs/>
          <w:sz w:val="24"/>
          <w:szCs w:val="24"/>
        </w:rPr>
      </w:pPr>
      <w:r>
        <w:rPr>
          <w:bCs/>
          <w:sz w:val="24"/>
          <w:szCs w:val="24"/>
        </w:rPr>
        <w:t xml:space="preserve">       </w:t>
      </w:r>
      <w:r>
        <w:rPr>
          <w:bCs/>
          <w:sz w:val="24"/>
          <w:szCs w:val="24"/>
        </w:rPr>
        <w:t xml:space="preserve">Основанием для компенсации являются решения налоговых органов, вынесенные по итогам проведения мероприятий налогового контроля. </w:t>
      </w:r>
    </w:p>
    <w:p>
      <w:pPr>
        <w:pStyle w:val="ListParagraph"/>
        <w:widowControl/>
        <w:numPr>
          <w:ilvl w:val="0"/>
          <w:numId w:val="0"/>
        </w:numPr>
        <w:shd w:val="clear" w:color="auto" w:fill="FFFFFF"/>
        <w:tabs>
          <w:tab w:val="clear" w:pos="709"/>
          <w:tab w:val="left" w:pos="1134" w:leader="none"/>
        </w:tabs>
        <w:ind w:left="0" w:hanging="0"/>
        <w:jc w:val="both"/>
        <w:rPr>
          <w:bCs/>
          <w:sz w:val="24"/>
          <w:szCs w:val="24"/>
        </w:rPr>
      </w:pPr>
      <w:r>
        <w:rPr>
          <w:bCs/>
          <w:sz w:val="24"/>
          <w:szCs w:val="24"/>
        </w:rPr>
        <w:t xml:space="preserve">       </w:t>
      </w:r>
      <w:r>
        <w:rPr>
          <w:bCs/>
          <w:sz w:val="24"/>
          <w:szCs w:val="24"/>
        </w:rPr>
        <w:t>Сумма расходов компенсируется Поставщиком в течение 10 (десяти) рабочих дней с даты получения соответствующего письменного требования Покупателя.</w:t>
      </w:r>
    </w:p>
    <w:p>
      <w:pPr>
        <w:pStyle w:val="ListParagraph"/>
        <w:widowControl/>
        <w:shd w:val="clear" w:color="auto" w:fill="FFFFFF"/>
        <w:tabs>
          <w:tab w:val="clear" w:pos="709"/>
          <w:tab w:val="left" w:pos="1134" w:leader="none"/>
        </w:tabs>
        <w:ind w:left="0" w:firstLine="709"/>
        <w:jc w:val="both"/>
        <w:rPr/>
      </w:pPr>
      <w:r>
        <w:rPr>
          <w:bCs/>
          <w:sz w:val="24"/>
          <w:szCs w:val="24"/>
        </w:rPr>
        <w:t>В случае нарушения Поставщиком сроков предоставления счетов-фактур (УПД), установленных пунктом 2.7 Договора, Покупатель вправе требовать уплаты Поставщиком штрафа в размере 50 000 (Пятидесяти тысяч) рублей за каждый случай нарушения.</w:t>
      </w:r>
    </w:p>
    <w:p>
      <w:pPr>
        <w:pStyle w:val="ListParagraph"/>
        <w:widowControl/>
        <w:numPr>
          <w:ilvl w:val="1"/>
          <w:numId w:val="2"/>
        </w:numPr>
        <w:shd w:val="clear" w:color="auto" w:fill="FFFFFF"/>
        <w:tabs>
          <w:tab w:val="clear" w:pos="709"/>
          <w:tab w:val="left" w:pos="1276" w:leader="none"/>
        </w:tabs>
        <w:ind w:left="0" w:firstLine="709"/>
        <w:jc w:val="both"/>
        <w:rPr>
          <w:bCs/>
          <w:sz w:val="24"/>
          <w:szCs w:val="24"/>
        </w:rPr>
      </w:pPr>
      <w:r>
        <w:rPr>
          <w:bCs/>
          <w:sz w:val="24"/>
          <w:szCs w:val="24"/>
        </w:rPr>
        <w:t xml:space="preserve">Поставщик несет ответственность перед Покупателем за причиненные убытки в размере фактически понесенных и документально подтвержденных расходов, возникших </w:t>
        <w:br/>
        <w:t>в связи с неисполнением (ненадлежащим исполнением) Поставщиком своих обязательств, произведенных для восстановления нарушенного права, а также упущенной выгоды.</w:t>
      </w:r>
    </w:p>
    <w:p>
      <w:pPr>
        <w:pStyle w:val="ListParagraph"/>
        <w:widowControl/>
        <w:numPr>
          <w:ilvl w:val="1"/>
          <w:numId w:val="2"/>
        </w:numPr>
        <w:shd w:val="clear" w:color="auto" w:fill="FFFFFF"/>
        <w:tabs>
          <w:tab w:val="clear" w:pos="709"/>
          <w:tab w:val="left" w:pos="1276" w:leader="none"/>
          <w:tab w:val="left" w:pos="1418" w:leader="none"/>
        </w:tabs>
        <w:ind w:left="0" w:firstLine="709"/>
        <w:jc w:val="both"/>
        <w:rPr>
          <w:bCs/>
          <w:sz w:val="24"/>
          <w:szCs w:val="24"/>
        </w:rPr>
      </w:pPr>
      <w:r>
        <w:rPr>
          <w:bCs/>
          <w:sz w:val="24"/>
          <w:szCs w:val="24"/>
        </w:rPr>
        <w:t xml:space="preserve">Обязанность по уплате неустойки и / или штрафов, возмещения убытков, предусмотренных Договором, возникает у любой из Сторон только при условии получения письменного требования другой Стороны. </w:t>
      </w:r>
    </w:p>
    <w:p>
      <w:pPr>
        <w:pStyle w:val="ListParagraph"/>
        <w:widowControl/>
        <w:numPr>
          <w:ilvl w:val="1"/>
          <w:numId w:val="2"/>
        </w:numPr>
        <w:shd w:val="clear" w:color="auto" w:fill="FFFFFF"/>
        <w:tabs>
          <w:tab w:val="clear" w:pos="709"/>
          <w:tab w:val="left" w:pos="1276" w:leader="none"/>
          <w:tab w:val="left" w:pos="1418" w:leader="none"/>
        </w:tabs>
        <w:ind w:left="0" w:firstLine="709"/>
        <w:jc w:val="both"/>
        <w:rPr>
          <w:bCs/>
          <w:sz w:val="24"/>
          <w:szCs w:val="24"/>
        </w:rPr>
      </w:pPr>
      <w:r>
        <w:rPr>
          <w:bCs/>
          <w:sz w:val="24"/>
          <w:szCs w:val="24"/>
        </w:rPr>
        <w:t>Уплата неустойки и / или штрафа не освобождает Стороны от исполнения обязательств по Договору, обязанности по устранению допущенных нарушений условий Договора и / или их последствий.</w:t>
      </w:r>
    </w:p>
    <w:p>
      <w:pPr>
        <w:pStyle w:val="ListParagraph"/>
        <w:widowControl/>
        <w:numPr>
          <w:ilvl w:val="1"/>
          <w:numId w:val="2"/>
        </w:numPr>
        <w:shd w:val="clear" w:color="auto" w:fill="FFFFFF"/>
        <w:tabs>
          <w:tab w:val="clear" w:pos="709"/>
          <w:tab w:val="left" w:pos="1276" w:leader="none"/>
          <w:tab w:val="left" w:pos="1418" w:leader="none"/>
        </w:tabs>
        <w:ind w:left="0" w:firstLine="709"/>
        <w:jc w:val="both"/>
        <w:rPr>
          <w:bCs/>
          <w:sz w:val="24"/>
          <w:szCs w:val="24"/>
        </w:rPr>
      </w:pPr>
      <w:r>
        <w:rPr>
          <w:bCs/>
          <w:sz w:val="24"/>
          <w:szCs w:val="24"/>
        </w:rPr>
        <w:t>Учитывая, что для Покупателя надлежащее и своевременное выполнение Поставщиком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Поставщиком соответствующих обязательств по Договору.</w:t>
      </w:r>
    </w:p>
    <w:p>
      <w:pPr>
        <w:pStyle w:val="ListParagraph"/>
        <w:widowControl/>
        <w:numPr>
          <w:ilvl w:val="1"/>
          <w:numId w:val="2"/>
        </w:numPr>
        <w:shd w:val="clear" w:color="auto" w:fill="FFFFFF"/>
        <w:tabs>
          <w:tab w:val="clear" w:pos="709"/>
          <w:tab w:val="left" w:pos="1276" w:leader="none"/>
          <w:tab w:val="left" w:pos="1418" w:leader="none"/>
        </w:tabs>
        <w:ind w:left="0" w:firstLine="709"/>
        <w:jc w:val="both"/>
        <w:rPr>
          <w:bCs/>
          <w:sz w:val="24"/>
          <w:szCs w:val="24"/>
        </w:rPr>
      </w:pPr>
      <w:r>
        <w:rPr>
          <w:bCs/>
          <w:sz w:val="24"/>
          <w:szCs w:val="24"/>
        </w:rPr>
        <w:t xml:space="preserve">Определение суммы неустойки, подлежащей уплате, возможно в досудебном порядке при признании суммы неустойки Стороной, нарушившей обязательства </w:t>
        <w:br/>
        <w:t xml:space="preserve">по Договору, и письменном уведомлении об этом другой Стороны. В случае непризнания Стороной, нарушившей обязательства по Договору, суммы неустойки, указанной </w:t>
        <w:br/>
        <w:t>в письменном требовании,</w:t>
      </w:r>
      <w:r>
        <w:rPr>
          <w:sz w:val="24"/>
          <w:szCs w:val="24"/>
        </w:rPr>
        <w:t xml:space="preserve"> </w:t>
      </w:r>
      <w:r>
        <w:rPr>
          <w:bCs/>
          <w:sz w:val="24"/>
          <w:szCs w:val="24"/>
        </w:rPr>
        <w:t>сумма неустойки, подлежащая уплате виновной Стороной, определяется на основании решения суда.</w:t>
      </w:r>
    </w:p>
    <w:p>
      <w:pPr>
        <w:pStyle w:val="Normal"/>
        <w:shd w:val="clear" w:color="auto" w:fill="FFFFFF"/>
        <w:jc w:val="both"/>
        <w:rPr>
          <w:sz w:val="24"/>
          <w:szCs w:val="24"/>
        </w:rPr>
      </w:pPr>
      <w:r>
        <w:rPr>
          <w:sz w:val="24"/>
          <w:szCs w:val="24"/>
        </w:rPr>
      </w:r>
    </w:p>
    <w:p>
      <w:pPr>
        <w:pStyle w:val="ListParagraph"/>
        <w:widowControl/>
        <w:numPr>
          <w:ilvl w:val="0"/>
          <w:numId w:val="2"/>
        </w:numPr>
        <w:shd w:val="clear" w:color="auto" w:fill="FFFFFF"/>
        <w:tabs>
          <w:tab w:val="clear" w:pos="709"/>
          <w:tab w:val="left" w:pos="0" w:leader="none"/>
          <w:tab w:val="left" w:pos="284" w:leader="none"/>
        </w:tabs>
        <w:ind w:left="0" w:hanging="0"/>
        <w:jc w:val="center"/>
        <w:rPr>
          <w:b/>
          <w:bCs/>
          <w:sz w:val="24"/>
          <w:szCs w:val="24"/>
        </w:rPr>
      </w:pPr>
      <w:r>
        <w:rPr>
          <w:b/>
          <w:bCs/>
          <w:sz w:val="24"/>
          <w:szCs w:val="24"/>
        </w:rPr>
        <w:t>Конфиденциальность</w:t>
      </w:r>
    </w:p>
    <w:p>
      <w:pPr>
        <w:pStyle w:val="ListParagraph"/>
        <w:widowControl/>
        <w:numPr>
          <w:ilvl w:val="1"/>
          <w:numId w:val="2"/>
        </w:numPr>
        <w:shd w:val="clear" w:color="auto" w:fill="FFFFFF"/>
        <w:tabs>
          <w:tab w:val="clear" w:pos="709"/>
          <w:tab w:val="left" w:pos="0" w:leader="none"/>
          <w:tab w:val="left" w:pos="1134" w:leader="none"/>
        </w:tabs>
        <w:ind w:left="0" w:firstLine="709"/>
        <w:jc w:val="both"/>
        <w:rPr>
          <w:bCs/>
          <w:sz w:val="24"/>
          <w:szCs w:val="24"/>
        </w:rPr>
      </w:pPr>
      <w:r>
        <w:rPr>
          <w:bCs/>
          <w:sz w:val="24"/>
          <w:szCs w:val="24"/>
        </w:rPr>
        <w:t>Под конфиденциальной информацией (далее – «Информация») для целей Договора понимается любая информация, передаваемая Покупателем Поставщику в устной либо документарной форме, в виде электронного файла, в любом другом виде, а также полученная Поставщиком самостоятельно в ходе визитов на территорию Покупателя в процессе проведения переговоров, заключения и исполнения Договора, в отношении которой соблюдаются следующие условия:</w:t>
      </w:r>
    </w:p>
    <w:p>
      <w:pPr>
        <w:pStyle w:val="Normal"/>
        <w:widowControl/>
        <w:numPr>
          <w:ilvl w:val="0"/>
          <w:numId w:val="5"/>
        </w:numPr>
        <w:tabs>
          <w:tab w:val="left" w:pos="0" w:leader="none"/>
          <w:tab w:val="left" w:pos="709" w:leader="none"/>
          <w:tab w:val="left" w:pos="1418" w:leader="none"/>
        </w:tabs>
        <w:ind w:left="0" w:firstLine="709"/>
        <w:jc w:val="both"/>
        <w:rPr>
          <w:bCs/>
          <w:sz w:val="24"/>
          <w:szCs w:val="24"/>
        </w:rPr>
      </w:pPr>
      <w:r>
        <w:rPr>
          <w:bCs/>
          <w:sz w:val="24"/>
          <w:szCs w:val="24"/>
        </w:rPr>
        <w:t>данная Информация имеет действительную или потенциальную коммерческую ценность для Покупателя в силу неизвестности ее третьим лица</w:t>
      </w:r>
      <w:r>
        <w:rPr>
          <w:sz w:val="24"/>
          <w:szCs w:val="24"/>
        </w:rPr>
        <w:t xml:space="preserve">м, в том числе по причине </w:t>
      </w:r>
      <w:r>
        <w:rPr>
          <w:bCs/>
          <w:sz w:val="24"/>
          <w:szCs w:val="24"/>
        </w:rPr>
        <w:t>введения в отношении нее режима Коммерческой тайны;</w:t>
      </w:r>
    </w:p>
    <w:p>
      <w:pPr>
        <w:pStyle w:val="Normal"/>
        <w:widowControl/>
        <w:numPr>
          <w:ilvl w:val="0"/>
          <w:numId w:val="5"/>
        </w:numPr>
        <w:tabs>
          <w:tab w:val="left" w:pos="0" w:leader="none"/>
          <w:tab w:val="left" w:pos="709" w:leader="none"/>
          <w:tab w:val="left" w:pos="1418" w:leader="none"/>
        </w:tabs>
        <w:ind w:left="0" w:firstLine="709"/>
        <w:jc w:val="both"/>
        <w:rPr>
          <w:bCs/>
          <w:sz w:val="24"/>
          <w:szCs w:val="24"/>
        </w:rPr>
      </w:pPr>
      <w:r>
        <w:rPr>
          <w:bCs/>
          <w:sz w:val="24"/>
          <w:szCs w:val="24"/>
        </w:rPr>
        <w:t xml:space="preserve">данная Информация не относится к категории общедоступной </w:t>
        <w:br/>
        <w:t>или обязательной к раскрытию Покупателем в соответствии с законодательством Российской Федерации.</w:t>
      </w:r>
    </w:p>
    <w:p>
      <w:pPr>
        <w:pStyle w:val="ListParagraph"/>
        <w:widowControl/>
        <w:numPr>
          <w:ilvl w:val="1"/>
          <w:numId w:val="2"/>
        </w:numPr>
        <w:shd w:val="clear" w:color="auto" w:fill="FFFFFF"/>
        <w:tabs>
          <w:tab w:val="clear" w:pos="709"/>
          <w:tab w:val="left" w:pos="0" w:leader="none"/>
          <w:tab w:val="left" w:pos="1134" w:leader="none"/>
        </w:tabs>
        <w:ind w:left="0" w:firstLine="709"/>
        <w:jc w:val="both"/>
        <w:rPr>
          <w:bCs/>
          <w:sz w:val="24"/>
          <w:szCs w:val="24"/>
        </w:rPr>
      </w:pPr>
      <w:r>
        <w:rPr>
          <w:bCs/>
          <w:sz w:val="24"/>
          <w:szCs w:val="24"/>
        </w:rPr>
        <w:t xml:space="preserve">Условия Договора и сам факт его заключения составляют Информацию </w:t>
        <w:br/>
        <w:t xml:space="preserve">в той части, в которой такие обстоятельства не были известны третьим лицам на момент заключения Договора в рамках проводимых Покупателем закупочных процедур. </w:t>
      </w:r>
    </w:p>
    <w:p>
      <w:pPr>
        <w:pStyle w:val="ListParagraph"/>
        <w:widowControl/>
        <w:numPr>
          <w:ilvl w:val="1"/>
          <w:numId w:val="2"/>
        </w:numPr>
        <w:shd w:val="clear" w:color="auto" w:fill="FFFFFF"/>
        <w:tabs>
          <w:tab w:val="clear" w:pos="709"/>
          <w:tab w:val="left" w:pos="0" w:leader="none"/>
          <w:tab w:val="left" w:pos="1134" w:leader="none"/>
        </w:tabs>
        <w:ind w:left="0" w:firstLine="709"/>
        <w:jc w:val="both"/>
        <w:rPr>
          <w:bCs/>
          <w:sz w:val="24"/>
          <w:szCs w:val="24"/>
        </w:rPr>
      </w:pPr>
      <w:r>
        <w:rPr>
          <w:bCs/>
          <w:sz w:val="24"/>
          <w:szCs w:val="24"/>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pPr>
        <w:pStyle w:val="ListParagraph"/>
        <w:widowControl/>
        <w:numPr>
          <w:ilvl w:val="1"/>
          <w:numId w:val="2"/>
        </w:numPr>
        <w:shd w:val="clear" w:color="auto" w:fill="FFFFFF"/>
        <w:tabs>
          <w:tab w:val="clear" w:pos="709"/>
          <w:tab w:val="left" w:pos="0" w:leader="none"/>
          <w:tab w:val="left" w:pos="1134" w:leader="none"/>
        </w:tabs>
        <w:ind w:left="0" w:firstLine="709"/>
        <w:jc w:val="both"/>
        <w:rPr>
          <w:bCs/>
          <w:sz w:val="24"/>
          <w:szCs w:val="24"/>
        </w:rPr>
      </w:pPr>
      <w:r>
        <w:rPr>
          <w:bCs/>
          <w:sz w:val="24"/>
          <w:szCs w:val="24"/>
        </w:rPr>
        <w:t>На документ, содержащий Информацию, Покупателем может быть нанесен гриф «Коммерческая тайна» с указанием обладателя этой информации.</w:t>
      </w:r>
    </w:p>
    <w:p>
      <w:pPr>
        <w:pStyle w:val="ListParagraph"/>
        <w:widowControl/>
        <w:numPr>
          <w:ilvl w:val="1"/>
          <w:numId w:val="2"/>
        </w:numPr>
        <w:shd w:val="clear" w:color="auto" w:fill="FFFFFF"/>
        <w:tabs>
          <w:tab w:val="clear" w:pos="709"/>
          <w:tab w:val="left" w:pos="0" w:leader="none"/>
          <w:tab w:val="left" w:pos="1134" w:leader="none"/>
        </w:tabs>
        <w:ind w:left="0" w:firstLine="709"/>
        <w:jc w:val="both"/>
        <w:rPr>
          <w:bCs/>
          <w:sz w:val="24"/>
          <w:szCs w:val="24"/>
        </w:rPr>
      </w:pPr>
      <w:r>
        <w:rPr>
          <w:bCs/>
          <w:sz w:val="24"/>
          <w:szCs w:val="24"/>
        </w:rPr>
        <w:t>Информация может включать в себя, в том числе, но не ограничиваясь:</w:t>
      </w:r>
    </w:p>
    <w:p>
      <w:pPr>
        <w:pStyle w:val="Normal"/>
        <w:widowControl/>
        <w:numPr>
          <w:ilvl w:val="0"/>
          <w:numId w:val="5"/>
        </w:numPr>
        <w:tabs>
          <w:tab w:val="clear" w:pos="709"/>
          <w:tab w:val="left" w:pos="0" w:leader="none"/>
          <w:tab w:val="left" w:pos="1418" w:leader="none"/>
        </w:tabs>
        <w:ind w:left="0" w:firstLine="709"/>
        <w:jc w:val="both"/>
        <w:rPr>
          <w:bCs/>
          <w:sz w:val="24"/>
          <w:szCs w:val="24"/>
        </w:rPr>
      </w:pPr>
      <w:r>
        <w:rPr>
          <w:bCs/>
          <w:sz w:val="24"/>
          <w:szCs w:val="24"/>
        </w:rPr>
        <w:t xml:space="preserve">финансовую </w:t>
      </w:r>
      <w:r>
        <w:rPr>
          <w:bCs/>
          <w:sz w:val="24"/>
          <w:szCs w:val="24"/>
          <w:lang w:val="en-US"/>
        </w:rPr>
        <w:t>(</w:t>
      </w:r>
      <w:r>
        <w:rPr>
          <w:bCs/>
          <w:sz w:val="24"/>
          <w:szCs w:val="24"/>
        </w:rPr>
        <w:t>бухгалтерскую) отчетность;</w:t>
      </w:r>
    </w:p>
    <w:p>
      <w:pPr>
        <w:pStyle w:val="Normal"/>
        <w:widowControl/>
        <w:numPr>
          <w:ilvl w:val="0"/>
          <w:numId w:val="5"/>
        </w:numPr>
        <w:tabs>
          <w:tab w:val="clear" w:pos="709"/>
          <w:tab w:val="left" w:pos="0" w:leader="none"/>
          <w:tab w:val="left" w:pos="1418" w:leader="none"/>
        </w:tabs>
        <w:ind w:left="0" w:firstLine="709"/>
        <w:jc w:val="both"/>
        <w:rPr>
          <w:bCs/>
          <w:sz w:val="24"/>
          <w:szCs w:val="24"/>
        </w:rPr>
      </w:pPr>
      <w:r>
        <w:rPr>
          <w:bCs/>
          <w:sz w:val="24"/>
          <w:szCs w:val="24"/>
        </w:rPr>
        <w:t>учетные регистры бухгалтерского учета;</w:t>
      </w:r>
    </w:p>
    <w:p>
      <w:pPr>
        <w:pStyle w:val="Normal"/>
        <w:widowControl/>
        <w:numPr>
          <w:ilvl w:val="0"/>
          <w:numId w:val="5"/>
        </w:numPr>
        <w:tabs>
          <w:tab w:val="clear" w:pos="709"/>
          <w:tab w:val="left" w:pos="0" w:leader="none"/>
          <w:tab w:val="left" w:pos="1418" w:leader="none"/>
        </w:tabs>
        <w:ind w:left="0" w:firstLine="709"/>
        <w:jc w:val="both"/>
        <w:rPr>
          <w:bCs/>
          <w:sz w:val="24"/>
          <w:szCs w:val="24"/>
        </w:rPr>
      </w:pPr>
      <w:r>
        <w:rPr>
          <w:bCs/>
          <w:sz w:val="24"/>
          <w:szCs w:val="24"/>
        </w:rPr>
        <w:t>бизнес-планы;</w:t>
      </w:r>
    </w:p>
    <w:p>
      <w:pPr>
        <w:pStyle w:val="Normal"/>
        <w:widowControl/>
        <w:numPr>
          <w:ilvl w:val="0"/>
          <w:numId w:val="5"/>
        </w:numPr>
        <w:tabs>
          <w:tab w:val="clear" w:pos="709"/>
          <w:tab w:val="left" w:pos="0" w:leader="none"/>
          <w:tab w:val="left" w:pos="1418" w:leader="none"/>
        </w:tabs>
        <w:ind w:left="0" w:firstLine="709"/>
        <w:jc w:val="both"/>
        <w:rPr>
          <w:bCs/>
          <w:sz w:val="24"/>
          <w:szCs w:val="24"/>
        </w:rPr>
      </w:pPr>
      <w:r>
        <w:rPr>
          <w:bCs/>
          <w:sz w:val="24"/>
          <w:szCs w:val="24"/>
        </w:rPr>
        <w:t>договоры (соглашения), заключаемые или заключенные непосредственно Покупателем либо в его пользу, а также информацию и сведения, содержащиеся в данных договорах (соглашениях);</w:t>
      </w:r>
    </w:p>
    <w:p>
      <w:pPr>
        <w:pStyle w:val="Normal"/>
        <w:widowControl/>
        <w:numPr>
          <w:ilvl w:val="0"/>
          <w:numId w:val="5"/>
        </w:numPr>
        <w:tabs>
          <w:tab w:val="clear" w:pos="709"/>
          <w:tab w:val="left" w:pos="0" w:leader="none"/>
          <w:tab w:val="left" w:pos="1418" w:leader="none"/>
        </w:tabs>
        <w:ind w:left="0" w:firstLine="709"/>
        <w:jc w:val="both"/>
        <w:rPr>
          <w:bCs/>
          <w:sz w:val="24"/>
          <w:szCs w:val="24"/>
        </w:rPr>
      </w:pPr>
      <w:r>
        <w:rPr>
          <w:bCs/>
          <w:sz w:val="24"/>
          <w:szCs w:val="24"/>
        </w:rPr>
        <w:t>сведения о финансовых, правовых, организационных и других взаимоотношениях между Покупателем и третьими лицами;</w:t>
      </w:r>
    </w:p>
    <w:p>
      <w:pPr>
        <w:pStyle w:val="Normal"/>
        <w:widowControl/>
        <w:numPr>
          <w:ilvl w:val="0"/>
          <w:numId w:val="5"/>
        </w:numPr>
        <w:tabs>
          <w:tab w:val="clear" w:pos="709"/>
          <w:tab w:val="left" w:pos="0" w:leader="none"/>
          <w:tab w:val="left" w:pos="1418" w:leader="none"/>
        </w:tabs>
        <w:ind w:left="0" w:firstLine="709"/>
        <w:jc w:val="both"/>
        <w:rPr>
          <w:bCs/>
          <w:sz w:val="24"/>
          <w:szCs w:val="24"/>
        </w:rPr>
      </w:pPr>
      <w:r>
        <w:rPr>
          <w:bCs/>
          <w:sz w:val="24"/>
          <w:szCs w:val="24"/>
        </w:rPr>
        <w:t xml:space="preserve">сведения о находящихся на регистрации товарных знаках Покупателя, а также </w:t>
        <w:br/>
        <w:t>об объектах интеллектуальной собственности Покупателя, сведения о которых не являются опубликованными;</w:t>
      </w:r>
    </w:p>
    <w:p>
      <w:pPr>
        <w:pStyle w:val="Normal"/>
        <w:widowControl/>
        <w:numPr>
          <w:ilvl w:val="0"/>
          <w:numId w:val="5"/>
        </w:numPr>
        <w:tabs>
          <w:tab w:val="clear" w:pos="709"/>
          <w:tab w:val="left" w:pos="0" w:leader="none"/>
          <w:tab w:val="left" w:pos="1418" w:leader="none"/>
        </w:tabs>
        <w:ind w:left="0" w:firstLine="709"/>
        <w:jc w:val="both"/>
        <w:rPr>
          <w:bCs/>
          <w:sz w:val="24"/>
          <w:szCs w:val="24"/>
        </w:rPr>
      </w:pPr>
      <w:r>
        <w:rPr>
          <w:bCs/>
          <w:sz w:val="24"/>
          <w:szCs w:val="24"/>
        </w:rPr>
        <w:t xml:space="preserve">сведения о Поставщиках, поставщиках оборудования и материалов, а также </w:t>
        <w:br/>
        <w:t>о покупателях продукции Покупателя и их аффилированных лицах;</w:t>
      </w:r>
    </w:p>
    <w:p>
      <w:pPr>
        <w:pStyle w:val="Normal"/>
        <w:widowControl/>
        <w:numPr>
          <w:ilvl w:val="0"/>
          <w:numId w:val="5"/>
        </w:numPr>
        <w:tabs>
          <w:tab w:val="clear" w:pos="709"/>
          <w:tab w:val="left" w:pos="0" w:leader="none"/>
          <w:tab w:val="left" w:pos="1418" w:leader="none"/>
        </w:tabs>
        <w:ind w:left="0" w:firstLine="709"/>
        <w:jc w:val="both"/>
        <w:rPr>
          <w:bCs/>
          <w:sz w:val="24"/>
          <w:szCs w:val="24"/>
        </w:rPr>
      </w:pPr>
      <w:r>
        <w:rPr>
          <w:bCs/>
          <w:sz w:val="24"/>
          <w:szCs w:val="24"/>
        </w:rPr>
        <w:t>сведения об объемах производства и / или реализации продукции и услуг Покупателя или его аффилированных лиц;</w:t>
      </w:r>
    </w:p>
    <w:p>
      <w:pPr>
        <w:pStyle w:val="Normal"/>
        <w:widowControl/>
        <w:numPr>
          <w:ilvl w:val="0"/>
          <w:numId w:val="5"/>
        </w:numPr>
        <w:tabs>
          <w:tab w:val="clear" w:pos="709"/>
          <w:tab w:val="left" w:pos="0" w:leader="none"/>
          <w:tab w:val="left" w:pos="1418" w:leader="none"/>
        </w:tabs>
        <w:ind w:left="0" w:firstLine="709"/>
        <w:jc w:val="both"/>
        <w:rPr>
          <w:bCs/>
          <w:sz w:val="24"/>
          <w:szCs w:val="24"/>
        </w:rPr>
      </w:pPr>
      <w:r>
        <w:rPr>
          <w:bCs/>
          <w:sz w:val="24"/>
          <w:szCs w:val="24"/>
        </w:rPr>
        <w:t>материалы обобщения, анализа, оценки, иных действий по обработке вышеуказанной Информации и документов.</w:t>
      </w:r>
    </w:p>
    <w:p>
      <w:pPr>
        <w:pStyle w:val="ListParagraph"/>
        <w:widowControl/>
        <w:numPr>
          <w:ilvl w:val="1"/>
          <w:numId w:val="2"/>
        </w:numPr>
        <w:shd w:val="clear" w:color="auto" w:fill="FFFFFF"/>
        <w:tabs>
          <w:tab w:val="clear" w:pos="709"/>
          <w:tab w:val="left" w:pos="0" w:leader="none"/>
          <w:tab w:val="left" w:pos="1134" w:leader="none"/>
        </w:tabs>
        <w:ind w:left="0" w:firstLine="709"/>
        <w:jc w:val="both"/>
        <w:rPr>
          <w:bCs/>
          <w:sz w:val="24"/>
          <w:szCs w:val="24"/>
        </w:rPr>
      </w:pPr>
      <w:bookmarkStart w:id="6" w:name="_Ref361337849"/>
      <w:r>
        <w:rPr>
          <w:bCs/>
          <w:sz w:val="24"/>
          <w:szCs w:val="24"/>
        </w:rPr>
        <w:t>Поставщик обязан безусловно обеспечить защиту и сохранение конфиденциальности Информации в течение срока действия Договора и в течение 3 (трех) лет после его прекращения</w:t>
      </w:r>
      <w:r>
        <w:rPr>
          <w:sz w:val="24"/>
          <w:szCs w:val="24"/>
        </w:rPr>
        <w:t xml:space="preserve"> </w:t>
      </w:r>
      <w:r>
        <w:rPr>
          <w:bCs/>
          <w:sz w:val="24"/>
          <w:szCs w:val="24"/>
        </w:rPr>
        <w:t>(расторжения) или исполнения, в том числе:</w:t>
      </w:r>
      <w:bookmarkEnd w:id="6"/>
      <w:r>
        <w:rPr>
          <w:bCs/>
          <w:sz w:val="24"/>
          <w:szCs w:val="24"/>
        </w:rPr>
        <w:t xml:space="preserve"> </w:t>
      </w:r>
    </w:p>
    <w:p>
      <w:pPr>
        <w:pStyle w:val="ListParagraph"/>
        <w:widowControl/>
        <w:numPr>
          <w:ilvl w:val="2"/>
          <w:numId w:val="2"/>
        </w:numPr>
        <w:shd w:val="clear" w:color="auto" w:fill="FFFFFF"/>
        <w:tabs>
          <w:tab w:val="clear" w:pos="709"/>
          <w:tab w:val="left" w:pos="0" w:leader="none"/>
          <w:tab w:val="left" w:pos="1418" w:leader="none"/>
        </w:tabs>
        <w:ind w:left="0" w:firstLine="709"/>
        <w:jc w:val="both"/>
        <w:rPr>
          <w:bCs/>
          <w:sz w:val="24"/>
          <w:szCs w:val="24"/>
        </w:rPr>
      </w:pPr>
      <w:r>
        <w:rPr>
          <w:bCs/>
          <w:sz w:val="24"/>
          <w:szCs w:val="24"/>
        </w:rPr>
        <w:t xml:space="preserve">Не разглашать, не обсуждать содержание, не предоставлять копий, </w:t>
        <w:br/>
        <w:t xml:space="preserve">не публиковать и не </w:t>
      </w:r>
      <w:r>
        <w:rPr>
          <w:sz w:val="24"/>
          <w:szCs w:val="24"/>
        </w:rPr>
        <w:t>раскрывать</w:t>
      </w:r>
      <w:r>
        <w:rPr>
          <w:bCs/>
          <w:sz w:val="24"/>
          <w:szCs w:val="24"/>
        </w:rPr>
        <w:t xml:space="preserve"> в какой-либо иной форме третьим лицам Информацию </w:t>
        <w:br/>
        <w:t>без получения предварительного письменного согласия Покупателя, за исключением случаев, предусмотренных законодательством Российской Федерации и п. 6.6.7 Договора.</w:t>
      </w:r>
    </w:p>
    <w:p>
      <w:pPr>
        <w:pStyle w:val="ListParagraph"/>
        <w:widowControl/>
        <w:numPr>
          <w:ilvl w:val="2"/>
          <w:numId w:val="2"/>
        </w:numPr>
        <w:shd w:val="clear" w:color="auto" w:fill="FFFFFF"/>
        <w:tabs>
          <w:tab w:val="clear" w:pos="709"/>
          <w:tab w:val="left" w:pos="0" w:leader="none"/>
          <w:tab w:val="left" w:pos="1418" w:leader="none"/>
        </w:tabs>
        <w:ind w:left="0" w:firstLine="709"/>
        <w:jc w:val="both"/>
        <w:rPr>
          <w:bCs/>
          <w:sz w:val="24"/>
          <w:szCs w:val="24"/>
        </w:rPr>
      </w:pPr>
      <w:r>
        <w:rPr>
          <w:bCs/>
          <w:sz w:val="24"/>
          <w:szCs w:val="24"/>
        </w:rPr>
        <w:t xml:space="preserve">Принимать меры предосторожности, обычно используемые для защиты такого рода информации в деловом обороте, при этом если Поставщиком 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Поставщик обязан использовать </w:t>
        <w:br/>
        <w:t>в отношении защиты Информации обычно используемые им меры защиты.</w:t>
      </w:r>
    </w:p>
    <w:p>
      <w:pPr>
        <w:pStyle w:val="ListParagraph"/>
        <w:widowControl/>
        <w:numPr>
          <w:ilvl w:val="2"/>
          <w:numId w:val="2"/>
        </w:numPr>
        <w:shd w:val="clear" w:color="auto" w:fill="FFFFFF"/>
        <w:tabs>
          <w:tab w:val="clear" w:pos="709"/>
          <w:tab w:val="left" w:pos="0" w:leader="none"/>
          <w:tab w:val="left" w:pos="1418" w:leader="none"/>
        </w:tabs>
        <w:ind w:left="0" w:firstLine="709"/>
        <w:jc w:val="both"/>
        <w:rPr>
          <w:bCs/>
          <w:sz w:val="24"/>
          <w:szCs w:val="24"/>
        </w:rPr>
      </w:pPr>
      <w:r>
        <w:rPr>
          <w:bCs/>
          <w:sz w:val="24"/>
          <w:szCs w:val="24"/>
        </w:rPr>
        <w:t xml:space="preserve">Использовать Информацию исключительно для целей, для которых она была предоставлена. </w:t>
      </w:r>
    </w:p>
    <w:p>
      <w:pPr>
        <w:pStyle w:val="ListParagraph"/>
        <w:widowControl/>
        <w:numPr>
          <w:ilvl w:val="2"/>
          <w:numId w:val="2"/>
        </w:numPr>
        <w:shd w:val="clear" w:color="auto" w:fill="FFFFFF"/>
        <w:tabs>
          <w:tab w:val="clear" w:pos="709"/>
          <w:tab w:val="left" w:pos="0" w:leader="none"/>
          <w:tab w:val="left" w:pos="1418" w:leader="none"/>
        </w:tabs>
        <w:ind w:left="0" w:firstLine="709"/>
        <w:jc w:val="both"/>
        <w:rPr>
          <w:bCs/>
          <w:sz w:val="24"/>
          <w:szCs w:val="24"/>
        </w:rPr>
      </w:pPr>
      <w:r>
        <w:rPr>
          <w:bCs/>
          <w:sz w:val="24"/>
          <w:szCs w:val="24"/>
        </w:rPr>
        <w:t xml:space="preserve">Не осуществлять действий (бездействия), результатом которых может быть несанкционированное раскрытие Информации третьим лицам. </w:t>
      </w:r>
    </w:p>
    <w:p>
      <w:pPr>
        <w:pStyle w:val="ListParagraph"/>
        <w:widowControl/>
        <w:numPr>
          <w:ilvl w:val="2"/>
          <w:numId w:val="2"/>
        </w:numPr>
        <w:shd w:val="clear" w:color="auto" w:fill="FFFFFF"/>
        <w:tabs>
          <w:tab w:val="clear" w:pos="709"/>
          <w:tab w:val="left" w:pos="0" w:leader="none"/>
          <w:tab w:val="left" w:pos="1418" w:leader="none"/>
        </w:tabs>
        <w:ind w:left="0" w:firstLine="709"/>
        <w:jc w:val="both"/>
        <w:rPr>
          <w:bCs/>
          <w:sz w:val="24"/>
          <w:szCs w:val="24"/>
        </w:rPr>
      </w:pPr>
      <w:r>
        <w:rPr>
          <w:bCs/>
          <w:sz w:val="24"/>
          <w:szCs w:val="24"/>
        </w:rPr>
        <w:t>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Покупателя, а также обеспечить содействие, которое потребует Покупатель для предотвращения такого несанкционированного раскрытия.</w:t>
      </w:r>
    </w:p>
    <w:p>
      <w:pPr>
        <w:pStyle w:val="ListParagraph"/>
        <w:widowControl/>
        <w:numPr>
          <w:ilvl w:val="2"/>
          <w:numId w:val="2"/>
        </w:numPr>
        <w:shd w:val="clear" w:color="auto" w:fill="FFFFFF"/>
        <w:tabs>
          <w:tab w:val="clear" w:pos="709"/>
          <w:tab w:val="left" w:pos="0" w:leader="none"/>
          <w:tab w:val="left" w:pos="1418" w:leader="none"/>
        </w:tabs>
        <w:ind w:left="0" w:firstLine="709"/>
        <w:jc w:val="both"/>
        <w:rPr>
          <w:bCs/>
          <w:sz w:val="24"/>
          <w:szCs w:val="24"/>
        </w:rPr>
      </w:pPr>
      <w:r>
        <w:rPr>
          <w:bCs/>
          <w:sz w:val="24"/>
          <w:szCs w:val="24"/>
        </w:rPr>
        <w:t xml:space="preserve">По требованию Покупателя уничтожить всю Информацию, которую будет невозможно передать Покупателю по его запросу или которая будет находиться </w:t>
        <w:br/>
        <w:t xml:space="preserve">на технических средствах Поставщика. При этом Покупатель признает, что обязательства </w:t>
        <w:br/>
        <w:t xml:space="preserve">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w:t>
        <w:br/>
        <w:t xml:space="preserve">или методики создания резервных копий. </w:t>
      </w:r>
    </w:p>
    <w:p>
      <w:pPr>
        <w:pStyle w:val="ListParagraph"/>
        <w:widowControl/>
        <w:numPr>
          <w:ilvl w:val="2"/>
          <w:numId w:val="2"/>
        </w:numPr>
        <w:shd w:val="clear" w:color="auto" w:fill="FFFFFF"/>
        <w:tabs>
          <w:tab w:val="clear" w:pos="709"/>
          <w:tab w:val="left" w:pos="0" w:leader="none"/>
          <w:tab w:val="left" w:pos="1418" w:leader="none"/>
        </w:tabs>
        <w:ind w:left="0" w:firstLine="709"/>
        <w:jc w:val="both"/>
        <w:rPr>
          <w:bCs/>
          <w:sz w:val="24"/>
          <w:szCs w:val="24"/>
        </w:rPr>
      </w:pPr>
      <w:bookmarkStart w:id="7" w:name="_Ref361337832"/>
      <w:r>
        <w:rPr>
          <w:bCs/>
          <w:sz w:val="24"/>
          <w:szCs w:val="24"/>
        </w:rPr>
        <w:t xml:space="preserve">Раскрывать Информацию своим работникам, членам органов управления </w:t>
        <w:br/>
        <w:t xml:space="preserve">и контроля, акционерам и аудиторам только в случае служебной необходимости в объеме, требуемом для исполнения Договора, оставаясь ответственным за действия таких лиц, как </w:t>
        <w:br/>
        <w:t>за свои собственные.</w:t>
      </w:r>
      <w:bookmarkEnd w:id="7"/>
    </w:p>
    <w:p>
      <w:pPr>
        <w:pStyle w:val="ListParagraph"/>
        <w:widowControl/>
        <w:numPr>
          <w:ilvl w:val="2"/>
          <w:numId w:val="2"/>
        </w:numPr>
        <w:shd w:val="clear" w:color="auto" w:fill="FFFFFF"/>
        <w:tabs>
          <w:tab w:val="clear" w:pos="709"/>
          <w:tab w:val="left" w:pos="0" w:leader="none"/>
          <w:tab w:val="left" w:pos="1418" w:leader="none"/>
        </w:tabs>
        <w:ind w:left="0" w:firstLine="709"/>
        <w:jc w:val="both"/>
        <w:rPr>
          <w:bCs/>
          <w:sz w:val="24"/>
          <w:szCs w:val="24"/>
        </w:rPr>
      </w:pPr>
      <w:r>
        <w:rPr>
          <w:bCs/>
          <w:sz w:val="24"/>
          <w:szCs w:val="24"/>
        </w:rPr>
        <w:t>Не разглашать третьим лицам факты передачи или получения Информации.</w:t>
      </w:r>
    </w:p>
    <w:p>
      <w:pPr>
        <w:pStyle w:val="ListParagraph"/>
        <w:widowControl/>
        <w:numPr>
          <w:ilvl w:val="1"/>
          <w:numId w:val="2"/>
        </w:numPr>
        <w:shd w:val="clear" w:color="auto" w:fill="FFFFFF"/>
        <w:tabs>
          <w:tab w:val="clear" w:pos="709"/>
          <w:tab w:val="left" w:pos="0" w:leader="none"/>
          <w:tab w:val="left" w:pos="1134" w:leader="none"/>
        </w:tabs>
        <w:ind w:left="0" w:firstLine="709"/>
        <w:jc w:val="both"/>
        <w:rPr>
          <w:bCs/>
          <w:sz w:val="24"/>
          <w:szCs w:val="24"/>
        </w:rPr>
      </w:pPr>
      <w:bookmarkStart w:id="8" w:name="_Ref361337863"/>
      <w:r>
        <w:rPr>
          <w:bCs/>
          <w:sz w:val="24"/>
          <w:szCs w:val="24"/>
        </w:rPr>
        <w:t xml:space="preserve">Поставщик, нарушивший условия настоящего раздела Договора, возмещает Покупателю убытки, вызванные таким нарушением, в течение 10 (десяти) календарных дней </w:t>
        <w:br/>
        <w:t>с даты получения соответствующего письменного требования Покупателя.</w:t>
      </w:r>
      <w:bookmarkEnd w:id="8"/>
    </w:p>
    <w:p>
      <w:pPr>
        <w:pStyle w:val="Normal"/>
        <w:numPr>
          <w:ilvl w:val="1"/>
          <w:numId w:val="2"/>
        </w:numPr>
        <w:shd w:val="clear" w:color="auto" w:fill="FFFFFF"/>
        <w:tabs>
          <w:tab w:val="clear" w:pos="709"/>
          <w:tab w:val="left" w:pos="0" w:leader="none"/>
          <w:tab w:val="left" w:pos="1134" w:leader="none"/>
        </w:tabs>
        <w:ind w:left="0" w:firstLine="709"/>
        <w:jc w:val="both"/>
        <w:rPr>
          <w:bCs/>
          <w:sz w:val="24"/>
          <w:szCs w:val="24"/>
        </w:rPr>
      </w:pPr>
      <w:r>
        <w:rPr>
          <w:bCs/>
          <w:sz w:val="24"/>
          <w:szCs w:val="24"/>
        </w:rPr>
        <w:t xml:space="preserve">Условия защиты Информации, представляемой Поставщиком Покупателю, могут быть дополнительно урегулированы отдельно заключаемым Сторонами соглашением. </w:t>
      </w:r>
    </w:p>
    <w:p>
      <w:pPr>
        <w:pStyle w:val="Normal"/>
        <w:shd w:val="clear" w:color="auto" w:fill="FFFFFF"/>
        <w:jc w:val="both"/>
        <w:rPr>
          <w:bCs/>
          <w:sz w:val="24"/>
          <w:szCs w:val="24"/>
        </w:rPr>
      </w:pPr>
      <w:r>
        <w:rPr>
          <w:bCs/>
          <w:sz w:val="24"/>
          <w:szCs w:val="24"/>
        </w:rPr>
      </w:r>
    </w:p>
    <w:p>
      <w:pPr>
        <w:pStyle w:val="ListParagraph"/>
        <w:widowControl/>
        <w:numPr>
          <w:ilvl w:val="0"/>
          <w:numId w:val="2"/>
        </w:numPr>
        <w:shd w:val="clear" w:color="auto" w:fill="FFFFFF"/>
        <w:tabs>
          <w:tab w:val="clear" w:pos="709"/>
          <w:tab w:val="left" w:pos="426" w:leader="none"/>
        </w:tabs>
        <w:ind w:left="0" w:hanging="0"/>
        <w:jc w:val="center"/>
        <w:rPr>
          <w:b/>
          <w:bCs/>
          <w:sz w:val="24"/>
          <w:szCs w:val="24"/>
        </w:rPr>
      </w:pPr>
      <w:r>
        <w:rPr>
          <w:b/>
          <w:bCs/>
          <w:sz w:val="24"/>
          <w:szCs w:val="24"/>
        </w:rPr>
        <w:t>Разрешение споров</w:t>
      </w:r>
    </w:p>
    <w:p>
      <w:pPr>
        <w:pStyle w:val="ListParagraph"/>
        <w:widowControl/>
        <w:numPr>
          <w:ilvl w:val="1"/>
          <w:numId w:val="2"/>
        </w:numPr>
        <w:shd w:val="clear" w:color="auto" w:fill="FFFFFF"/>
        <w:tabs>
          <w:tab w:val="clear" w:pos="709"/>
          <w:tab w:val="left" w:pos="0" w:leader="none"/>
          <w:tab w:val="left" w:pos="1418" w:leader="none"/>
        </w:tabs>
        <w:ind w:left="0" w:firstLine="709"/>
        <w:jc w:val="both"/>
        <w:rPr>
          <w:bCs/>
          <w:sz w:val="24"/>
          <w:szCs w:val="24"/>
        </w:rPr>
      </w:pPr>
      <w:r>
        <w:rPr>
          <w:bCs/>
          <w:sz w:val="24"/>
          <w:szCs w:val="24"/>
        </w:rPr>
        <w:t xml:space="preserve">Все споры, разногласия и требования, возникающие между Сторонами </w:t>
        <w:br/>
        <w:t>из Договора или в связи с ним, в том числе связанные с его заключением, исполнением, изменением, прекращением (расторжением) и / или действительностью, разрешаются путем переговоров.</w:t>
      </w:r>
    </w:p>
    <w:p>
      <w:pPr>
        <w:pStyle w:val="ListParagraph"/>
        <w:widowControl/>
        <w:numPr>
          <w:ilvl w:val="1"/>
          <w:numId w:val="2"/>
        </w:numPr>
        <w:shd w:val="clear" w:color="auto" w:fill="FFFFFF"/>
        <w:tabs>
          <w:tab w:val="clear" w:pos="709"/>
          <w:tab w:val="left" w:pos="0" w:leader="none"/>
          <w:tab w:val="left" w:pos="1418" w:leader="none"/>
        </w:tabs>
        <w:ind w:left="0" w:firstLine="709"/>
        <w:jc w:val="both"/>
        <w:rPr>
          <w:bCs/>
          <w:sz w:val="24"/>
          <w:szCs w:val="24"/>
        </w:rPr>
      </w:pPr>
      <w:r>
        <w:rPr>
          <w:bCs/>
          <w:sz w:val="24"/>
          <w:szCs w:val="24"/>
        </w:rPr>
        <w:t>Споры, указанные в пункте 7.1 Договора, которые не были урегулированы Сторонами путем переговоров, подлежат разрешению в Арбитражном суде Пермского края в соответствии с законодательством Российской Федерации.</w:t>
      </w:r>
    </w:p>
    <w:p>
      <w:pPr>
        <w:pStyle w:val="ListParagraph"/>
        <w:widowControl/>
        <w:numPr>
          <w:ilvl w:val="1"/>
          <w:numId w:val="2"/>
        </w:numPr>
        <w:shd w:val="clear" w:color="auto" w:fill="FFFFFF"/>
        <w:tabs>
          <w:tab w:val="clear" w:pos="709"/>
          <w:tab w:val="left" w:pos="0" w:leader="none"/>
          <w:tab w:val="left" w:pos="1418" w:leader="none"/>
        </w:tabs>
        <w:ind w:left="0" w:firstLine="709"/>
        <w:jc w:val="both"/>
        <w:rPr>
          <w:bCs/>
          <w:sz w:val="24"/>
          <w:szCs w:val="24"/>
        </w:rPr>
      </w:pPr>
      <w:r>
        <w:rPr>
          <w:bCs/>
          <w:sz w:val="24"/>
          <w:szCs w:val="24"/>
        </w:rPr>
        <w:t>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Стороне письменную претензию с изложением своих требований. Претензии направляются в порядке, предусмотренном пунктом 1</w:t>
      </w:r>
      <w:r>
        <w:rPr>
          <w:bCs/>
          <w:sz w:val="24"/>
          <w:szCs w:val="24"/>
          <w:lang w:val="en-US"/>
        </w:rPr>
        <w:t>3</w:t>
      </w:r>
      <w:r>
        <w:rPr>
          <w:bCs/>
          <w:sz w:val="24"/>
          <w:szCs w:val="24"/>
        </w:rPr>
        <w:t>.</w:t>
      </w:r>
      <w:r>
        <w:rPr>
          <w:bCs/>
          <w:sz w:val="24"/>
          <w:szCs w:val="24"/>
          <w:lang w:val="en-US"/>
        </w:rPr>
        <w:t>6</w:t>
      </w:r>
      <w:r>
        <w:rPr>
          <w:bCs/>
          <w:sz w:val="24"/>
          <w:szCs w:val="24"/>
        </w:rPr>
        <w:t xml:space="preserve"> Договора.</w:t>
      </w:r>
    </w:p>
    <w:p>
      <w:pPr>
        <w:pStyle w:val="ListParagraph"/>
        <w:widowControl/>
        <w:numPr>
          <w:ilvl w:val="1"/>
          <w:numId w:val="2"/>
        </w:numPr>
        <w:shd w:val="clear" w:color="auto" w:fill="FFFFFF"/>
        <w:tabs>
          <w:tab w:val="clear" w:pos="709"/>
          <w:tab w:val="left" w:pos="0" w:leader="none"/>
          <w:tab w:val="left" w:pos="1418" w:leader="none"/>
        </w:tabs>
        <w:ind w:left="0" w:firstLine="709"/>
        <w:jc w:val="both"/>
        <w:rPr>
          <w:bCs/>
          <w:sz w:val="24"/>
          <w:szCs w:val="24"/>
        </w:rPr>
      </w:pPr>
      <w:r>
        <w:rPr>
          <w:bCs/>
          <w:sz w:val="24"/>
          <w:szCs w:val="24"/>
        </w:rPr>
        <w:t xml:space="preserve">Срок для рассмотрения претензии – 15 (пятнадцать) рабочих дней со дня </w:t>
        <w:br/>
        <w:t xml:space="preserve">ее получения. Если в указанный срок требования не удовлетворены и не направлены мотивированные возражения, то Сторона, право которой нарушено, вправе обратиться </w:t>
        <w:br/>
        <w:t>с иском в суд.</w:t>
      </w:r>
    </w:p>
    <w:p>
      <w:pPr>
        <w:pStyle w:val="ListParagraph"/>
        <w:widowControl/>
        <w:numPr>
          <w:ilvl w:val="1"/>
          <w:numId w:val="2"/>
        </w:numPr>
        <w:shd w:val="clear" w:color="auto" w:fill="FFFFFF"/>
        <w:tabs>
          <w:tab w:val="clear" w:pos="709"/>
          <w:tab w:val="left" w:pos="0" w:leader="none"/>
          <w:tab w:val="left" w:pos="1418" w:leader="none"/>
        </w:tabs>
        <w:ind w:left="0" w:firstLine="709"/>
        <w:jc w:val="both"/>
        <w:rPr>
          <w:bCs/>
          <w:sz w:val="24"/>
          <w:szCs w:val="24"/>
        </w:rPr>
      </w:pPr>
      <w:r>
        <w:rPr>
          <w:bCs/>
          <w:sz w:val="24"/>
          <w:szCs w:val="24"/>
        </w:rPr>
        <w:t>Условия настоящего раздела сохраняют свою силу в случае признания Договора незаключенным и / или недействительным.</w:t>
      </w:r>
    </w:p>
    <w:p>
      <w:pPr>
        <w:pStyle w:val="Normal"/>
        <w:shd w:val="clear" w:color="auto" w:fill="FFFFFF"/>
        <w:jc w:val="both"/>
        <w:rPr>
          <w:sz w:val="24"/>
          <w:szCs w:val="24"/>
        </w:rPr>
      </w:pPr>
      <w:r>
        <w:rPr>
          <w:sz w:val="24"/>
          <w:szCs w:val="24"/>
        </w:rPr>
      </w:r>
    </w:p>
    <w:p>
      <w:pPr>
        <w:pStyle w:val="ListParagraph"/>
        <w:widowControl/>
        <w:numPr>
          <w:ilvl w:val="0"/>
          <w:numId w:val="2"/>
        </w:numPr>
        <w:shd w:val="clear" w:color="auto" w:fill="FFFFFF"/>
        <w:tabs>
          <w:tab w:val="clear" w:pos="709"/>
          <w:tab w:val="left" w:pos="426" w:leader="none"/>
        </w:tabs>
        <w:ind w:left="0" w:hanging="0"/>
        <w:jc w:val="center"/>
        <w:rPr>
          <w:b/>
          <w:bCs/>
          <w:sz w:val="24"/>
          <w:szCs w:val="24"/>
        </w:rPr>
      </w:pPr>
      <w:r>
        <w:rPr>
          <w:b/>
          <w:bCs/>
          <w:sz w:val="24"/>
          <w:szCs w:val="24"/>
        </w:rPr>
        <w:t>Антикоррупционная оговорка</w:t>
      </w:r>
    </w:p>
    <w:p>
      <w:pPr>
        <w:pStyle w:val="ListParagraph"/>
        <w:numPr>
          <w:ilvl w:val="1"/>
          <w:numId w:val="2"/>
        </w:numPr>
        <w:shd w:val="clear" w:color="auto" w:fill="FFFFFF"/>
        <w:tabs>
          <w:tab w:val="clear" w:pos="709"/>
          <w:tab w:val="left" w:pos="1134" w:leader="none"/>
        </w:tabs>
        <w:ind w:left="0" w:firstLine="709"/>
        <w:jc w:val="both"/>
        <w:rPr>
          <w:bCs/>
          <w:color w:val="000000"/>
          <w:sz w:val="24"/>
          <w:szCs w:val="24"/>
        </w:rPr>
      </w:pPr>
      <w:r>
        <w:rPr>
          <w:color w:val="000000"/>
          <w:sz w:val="24"/>
          <w:szCs w:val="24"/>
        </w:rPr>
        <w:t xml:space="preserve">Стороны обязуются обеспечить, чтобы при исполнении обязательств, возникающих по Договору или в связи с ним, их аффилированные лица, работники и / или представители не осуществляли, прямо или косвенно не </w:t>
      </w:r>
      <w:r>
        <w:rPr>
          <w:bCs/>
          <w:color w:val="000000"/>
          <w:sz w:val="24"/>
          <w:szCs w:val="24"/>
        </w:rPr>
        <w:t>предлагали и не разрешали выплату денежных средств, передачу ценностей и/или подарков, безвозмездного оказания услуг или выполнения работ любым аффилированным лицам, работникам и / или представителям другой Стороны, а также лицам, аффилированным по отношению к таким работникам и / или представителям, для оказания влияния на действия или решения соответствующих лиц с целью получения каких-либо неправомерных преимуществ или для достижения иных неправомерных целей.</w:t>
      </w:r>
    </w:p>
    <w:p>
      <w:pPr>
        <w:pStyle w:val="Normal"/>
        <w:shd w:val="clear" w:color="auto" w:fill="FFFFFF"/>
        <w:tabs>
          <w:tab w:val="clear" w:pos="709"/>
          <w:tab w:val="left" w:pos="1134" w:leader="none"/>
        </w:tabs>
        <w:ind w:firstLine="709"/>
        <w:jc w:val="both"/>
        <w:rPr>
          <w:bCs/>
          <w:color w:val="000000"/>
          <w:sz w:val="24"/>
          <w:szCs w:val="24"/>
        </w:rPr>
      </w:pPr>
      <w:r>
        <w:rPr>
          <w:bCs/>
          <w:color w:val="000000"/>
          <w:sz w:val="24"/>
          <w:szCs w:val="24"/>
        </w:rPr>
        <w:t>8.2. При исполнении своих обязательств по Договору, Стороны, их аффилированные лица, работники и / или представители также обязуются не осуществлять действия, квалифицируемые Применимым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коррупции, легализации (отмыванию) доходов, полученных преступным путем.</w:t>
      </w:r>
    </w:p>
    <w:p>
      <w:pPr>
        <w:pStyle w:val="Normal"/>
        <w:shd w:val="clear" w:color="auto" w:fill="FFFFFF"/>
        <w:tabs>
          <w:tab w:val="clear" w:pos="709"/>
          <w:tab w:val="left" w:pos="1134" w:leader="none"/>
        </w:tabs>
        <w:ind w:firstLine="709"/>
        <w:jc w:val="both"/>
        <w:rPr>
          <w:bCs/>
          <w:color w:val="000000"/>
          <w:sz w:val="24"/>
          <w:szCs w:val="24"/>
        </w:rPr>
      </w:pPr>
      <w:r>
        <w:rPr>
          <w:bCs/>
          <w:color w:val="000000"/>
          <w:sz w:val="24"/>
          <w:szCs w:val="24"/>
        </w:rPr>
        <w:t>8.3. В случае возникновения у любой Стороны обоснованных предположений, 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pPr>
        <w:pStyle w:val="Normal"/>
        <w:shd w:val="clear" w:color="auto" w:fill="FFFFFF"/>
        <w:tabs>
          <w:tab w:val="clear" w:pos="709"/>
          <w:tab w:val="left" w:pos="1134" w:leader="none"/>
        </w:tabs>
        <w:ind w:firstLine="709"/>
        <w:jc w:val="both"/>
        <w:rPr>
          <w:bCs/>
          <w:color w:val="000000"/>
          <w:sz w:val="24"/>
          <w:szCs w:val="24"/>
        </w:rPr>
      </w:pPr>
      <w:r>
        <w:rPr>
          <w:bCs/>
          <w:color w:val="000000"/>
          <w:sz w:val="24"/>
          <w:szCs w:val="24"/>
        </w:rPr>
        <w:t>8.4. 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pPr>
        <w:pStyle w:val="Normal"/>
        <w:shd w:val="clear" w:color="auto" w:fill="FFFFFF"/>
        <w:tabs>
          <w:tab w:val="clear" w:pos="709"/>
          <w:tab w:val="left" w:pos="1134" w:leader="none"/>
        </w:tabs>
        <w:ind w:firstLine="709"/>
        <w:jc w:val="both"/>
        <w:rPr>
          <w:bCs/>
          <w:color w:val="000000"/>
          <w:sz w:val="24"/>
          <w:szCs w:val="24"/>
        </w:rPr>
      </w:pPr>
      <w:r>
        <w:rPr>
          <w:bCs/>
          <w:color w:val="000000"/>
          <w:sz w:val="24"/>
          <w:szCs w:val="24"/>
        </w:rPr>
        <w:t xml:space="preserve">8.5. Стороны гарантируют осуществление надлежащего разбирательства по фактам нарушения положений настоящего раздела Договора с соблюдением принципов конфиденциальности и применение эффективных мер по предотвращению возможных конфликтных ситуаций. Стороны гарантируют отсутствие негативных последствий как для уведомившей Стороны в целом, так и для конкретных работников уведомившей Стороны, сообщивших о факте нарушений. </w:t>
      </w:r>
    </w:p>
    <w:p>
      <w:pPr>
        <w:pStyle w:val="Normal"/>
        <w:shd w:val="clear" w:color="auto" w:fill="FFFFFF"/>
        <w:tabs>
          <w:tab w:val="clear" w:pos="709"/>
          <w:tab w:val="left" w:pos="1134" w:leader="none"/>
        </w:tabs>
        <w:ind w:firstLine="709"/>
        <w:jc w:val="both"/>
        <w:rPr>
          <w:bCs/>
          <w:color w:val="000000"/>
          <w:sz w:val="24"/>
          <w:szCs w:val="24"/>
        </w:rPr>
      </w:pPr>
      <w:r>
        <w:rPr>
          <w:bCs/>
          <w:color w:val="000000"/>
          <w:sz w:val="24"/>
          <w:szCs w:val="24"/>
        </w:rPr>
        <w:t xml:space="preserve">8.6. В случае подтверждения факта нарушения одной Стороной положений настоящего раздела Договора и/или неполучения другой Стороной информации об итогах рассмотрения уведомления о нарушении, другая Сторона имеет право расторгнуть Договор в одностороннем внесудебном порядке путем направления письменного уведомления не позднее, чем за 5 (пять) календарных дней до даты прекращения действия Договора. </w:t>
      </w:r>
    </w:p>
    <w:p>
      <w:pPr>
        <w:pStyle w:val="Normal"/>
        <w:shd w:val="clear" w:color="auto" w:fill="FFFFFF"/>
        <w:tabs>
          <w:tab w:val="clear" w:pos="709"/>
          <w:tab w:val="left" w:pos="567" w:leader="none"/>
          <w:tab w:val="left" w:pos="1134" w:leader="none"/>
        </w:tabs>
        <w:ind w:firstLine="709"/>
        <w:jc w:val="both"/>
        <w:rPr>
          <w:color w:val="000000"/>
          <w:sz w:val="24"/>
          <w:szCs w:val="24"/>
        </w:rPr>
      </w:pPr>
      <w:r>
        <w:rPr>
          <w:color w:val="000000"/>
          <w:sz w:val="24"/>
          <w:szCs w:val="24"/>
        </w:rPr>
        <w:t xml:space="preserve">8.7.  Каналы связи Линия доверия Группы РусГидро: </w:t>
      </w:r>
    </w:p>
    <w:p>
      <w:pPr>
        <w:pStyle w:val="Normal"/>
        <w:shd w:val="clear" w:color="auto" w:fill="FFFFFF"/>
        <w:tabs>
          <w:tab w:val="clear" w:pos="709"/>
          <w:tab w:val="left" w:pos="567" w:leader="none"/>
          <w:tab w:val="left" w:pos="1134" w:leader="none"/>
        </w:tabs>
        <w:ind w:firstLine="709"/>
        <w:jc w:val="both"/>
        <w:rPr>
          <w:sz w:val="24"/>
          <w:szCs w:val="24"/>
        </w:rPr>
      </w:pPr>
      <w:r>
        <w:rPr>
          <w:sz w:val="24"/>
          <w:szCs w:val="24"/>
        </w:rPr>
        <w:t>8.7.1. Электронная почта: ld@rushydro.ru.</w:t>
      </w:r>
    </w:p>
    <w:p>
      <w:pPr>
        <w:pStyle w:val="Normal"/>
        <w:shd w:val="clear" w:color="auto" w:fill="FFFFFF"/>
        <w:tabs>
          <w:tab w:val="clear" w:pos="709"/>
          <w:tab w:val="left" w:pos="567" w:leader="none"/>
          <w:tab w:val="left" w:pos="1134" w:leader="none"/>
        </w:tabs>
        <w:ind w:firstLine="709"/>
        <w:jc w:val="both"/>
        <w:rPr>
          <w:sz w:val="24"/>
          <w:szCs w:val="24"/>
        </w:rPr>
      </w:pPr>
      <w:r>
        <w:rPr>
          <w:sz w:val="24"/>
          <w:szCs w:val="24"/>
        </w:rPr>
        <w:t>8.7.2. Специальная форма «обратной связи», размещенная на официальном сайте Общества в сети интернет: http://www.rushydro.ru/ (далее перейти по ссылке «Линия доверия» и заполнить поля специальной формы «обратной связи»);</w:t>
      </w:r>
    </w:p>
    <w:p>
      <w:pPr>
        <w:pStyle w:val="Normal"/>
        <w:ind w:firstLine="709"/>
        <w:jc w:val="both"/>
        <w:rPr>
          <w:sz w:val="24"/>
          <w:szCs w:val="24"/>
        </w:rPr>
      </w:pPr>
      <w:r>
        <w:rPr>
          <w:sz w:val="24"/>
          <w:szCs w:val="24"/>
        </w:rPr>
        <w:t>8.7.3. Телефонный автоответчик (необходимо позвонить по телефону +7(495) 785-09-37 (круглосуточно), дождаться сигнала о начале записи и оставить устное обращение).</w:t>
      </w:r>
    </w:p>
    <w:p>
      <w:pPr>
        <w:pStyle w:val="ListParagraph"/>
        <w:shd w:val="clear" w:color="auto" w:fill="FFFFFF"/>
        <w:tabs>
          <w:tab w:val="clear" w:pos="709"/>
          <w:tab w:val="left" w:pos="0" w:leader="none"/>
          <w:tab w:val="left" w:pos="284" w:leader="none"/>
          <w:tab w:val="left" w:pos="567" w:leader="none"/>
        </w:tabs>
        <w:ind w:left="0" w:firstLine="709"/>
        <w:jc w:val="both"/>
        <w:rPr>
          <w:b/>
          <w:bCs/>
          <w:sz w:val="24"/>
          <w:szCs w:val="24"/>
        </w:rPr>
      </w:pPr>
      <w:r>
        <w:rPr>
          <w:b/>
          <w:bCs/>
          <w:sz w:val="24"/>
          <w:szCs w:val="24"/>
        </w:rPr>
      </w:r>
    </w:p>
    <w:p>
      <w:pPr>
        <w:pStyle w:val="ListParagraph"/>
        <w:widowControl/>
        <w:numPr>
          <w:ilvl w:val="0"/>
          <w:numId w:val="2"/>
        </w:numPr>
        <w:shd w:val="clear" w:color="auto" w:fill="FFFFFF"/>
        <w:tabs>
          <w:tab w:val="clear" w:pos="709"/>
          <w:tab w:val="left" w:pos="426" w:leader="none"/>
        </w:tabs>
        <w:ind w:left="0" w:hanging="0"/>
        <w:jc w:val="center"/>
        <w:rPr>
          <w:b/>
          <w:bCs/>
          <w:sz w:val="24"/>
          <w:szCs w:val="24"/>
        </w:rPr>
      </w:pPr>
      <w:r>
        <w:rPr>
          <w:b/>
          <w:bCs/>
          <w:sz w:val="24"/>
          <w:szCs w:val="24"/>
        </w:rPr>
        <w:t>Обстоятельства непреодолимой силы (форс-мажор)</w:t>
      </w:r>
    </w:p>
    <w:p>
      <w:pPr>
        <w:pStyle w:val="ListParagraph"/>
        <w:widowControl/>
        <w:numPr>
          <w:ilvl w:val="1"/>
          <w:numId w:val="2"/>
        </w:numPr>
        <w:shd w:val="clear" w:color="auto" w:fill="FFFFFF"/>
        <w:tabs>
          <w:tab w:val="clear" w:pos="709"/>
          <w:tab w:val="left" w:pos="0" w:leader="none"/>
          <w:tab w:val="left" w:pos="1418" w:leader="none"/>
        </w:tabs>
        <w:ind w:left="0" w:firstLine="709"/>
        <w:jc w:val="both"/>
        <w:rPr>
          <w:bCs/>
          <w:sz w:val="24"/>
          <w:szCs w:val="24"/>
        </w:rPr>
      </w:pPr>
      <w:r>
        <w:rPr>
          <w:bCs/>
          <w:sz w:val="24"/>
          <w:szCs w:val="24"/>
        </w:rPr>
        <w:t>Стороны освобождаются от ответственности за неисполнение или ненадлежащее исполнение обязательств по Договору, возникшее вследствие непреодолимой силы, то есть чрезвычайных и непредотвратимых при данных условиях обстоятельств, которые возникли после заключения Договора, и которые Стороны не могли ни предвидеть, ни предотвратить разумными мерами, в том числе: 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повлекших за собой невозможность выполнения Сторонами своих обязательств по Договору.</w:t>
      </w:r>
    </w:p>
    <w:p>
      <w:pPr>
        <w:pStyle w:val="ListParagraph"/>
        <w:widowControl/>
        <w:numPr>
          <w:ilvl w:val="1"/>
          <w:numId w:val="2"/>
        </w:numPr>
        <w:shd w:val="clear" w:color="auto" w:fill="FFFFFF"/>
        <w:tabs>
          <w:tab w:val="clear" w:pos="709"/>
          <w:tab w:val="left" w:pos="0" w:leader="none"/>
          <w:tab w:val="left" w:pos="1418" w:leader="none"/>
        </w:tabs>
        <w:ind w:left="0" w:firstLine="709"/>
        <w:jc w:val="both"/>
        <w:rPr>
          <w:bCs/>
          <w:sz w:val="24"/>
          <w:szCs w:val="24"/>
        </w:rPr>
      </w:pPr>
      <w:r>
        <w:rPr>
          <w:bCs/>
          <w:sz w:val="24"/>
          <w:szCs w:val="24"/>
        </w:rPr>
        <w:t xml:space="preserve">Сторона имеет право ссылаться на обстоятельства непреодолимой силы только </w:t>
        <w:br/>
        <w:t>в случае, если такие обстоятельства непосредственно повлияли на возможность исполнения этой Стороной условий Договора.</w:t>
      </w:r>
    </w:p>
    <w:p>
      <w:pPr>
        <w:pStyle w:val="ListParagraph"/>
        <w:widowControl/>
        <w:numPr>
          <w:ilvl w:val="1"/>
          <w:numId w:val="2"/>
        </w:numPr>
        <w:shd w:val="clear" w:color="auto" w:fill="FFFFFF"/>
        <w:tabs>
          <w:tab w:val="clear" w:pos="709"/>
          <w:tab w:val="left" w:pos="0" w:leader="none"/>
          <w:tab w:val="left" w:pos="1418" w:leader="none"/>
        </w:tabs>
        <w:ind w:left="0" w:firstLine="709"/>
        <w:jc w:val="both"/>
        <w:rPr>
          <w:bCs/>
          <w:sz w:val="24"/>
          <w:szCs w:val="24"/>
        </w:rPr>
      </w:pPr>
      <w:r>
        <w:rPr>
          <w:bCs/>
          <w:sz w:val="24"/>
          <w:szCs w:val="24"/>
        </w:rPr>
        <w:t xml:space="preserve">Сторона, для которой наступили обстоятельства непреодолимой силы, должна незамедлительно, но в любом случае не позднее 5 (пяти) календарных дней с момента возникновения таких обстоятельств, письменно известить другую Сторону о наступлении </w:t>
        <w:br/>
        <w:t>и предполагаемом сроке действия обстоятельств непреодолимой силы, и в разумный срок представить необходимые документальные подтверждения.</w:t>
      </w:r>
    </w:p>
    <w:p>
      <w:pPr>
        <w:pStyle w:val="ListParagraph"/>
        <w:widowControl/>
        <w:numPr>
          <w:ilvl w:val="1"/>
          <w:numId w:val="2"/>
        </w:numPr>
        <w:shd w:val="clear" w:color="auto" w:fill="FFFFFF"/>
        <w:tabs>
          <w:tab w:val="clear" w:pos="709"/>
          <w:tab w:val="left" w:pos="0" w:leader="none"/>
          <w:tab w:val="left" w:pos="1418" w:leader="none"/>
        </w:tabs>
        <w:ind w:left="0" w:firstLine="709"/>
        <w:jc w:val="both"/>
        <w:rPr>
          <w:bCs/>
          <w:sz w:val="24"/>
          <w:szCs w:val="24"/>
        </w:rPr>
      </w:pPr>
      <w:r>
        <w:rPr>
          <w:sz w:val="24"/>
          <w:szCs w:val="24"/>
        </w:rPr>
        <w:t>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p>
    <w:p>
      <w:pPr>
        <w:pStyle w:val="ListParagraph"/>
        <w:widowControl/>
        <w:numPr>
          <w:ilvl w:val="1"/>
          <w:numId w:val="2"/>
        </w:numPr>
        <w:shd w:val="clear" w:color="auto" w:fill="FFFFFF"/>
        <w:tabs>
          <w:tab w:val="clear" w:pos="709"/>
          <w:tab w:val="left" w:pos="0" w:leader="none"/>
          <w:tab w:val="left" w:pos="1418" w:leader="none"/>
        </w:tabs>
        <w:ind w:left="0" w:firstLine="709"/>
        <w:jc w:val="both"/>
        <w:rPr>
          <w:bCs/>
          <w:sz w:val="24"/>
          <w:szCs w:val="24"/>
        </w:rPr>
      </w:pPr>
      <w:r>
        <w:rPr>
          <w:bCs/>
          <w:sz w:val="24"/>
          <w:szCs w:val="24"/>
        </w:rPr>
        <w:t xml:space="preserve">Отсутствие уведомления или несвоевременное уведомление </w:t>
        <w:br/>
        <w:t xml:space="preserve">об обстоятельствах непреодолимой силы лишает соответствующую Сторону права </w:t>
        <w:br/>
        <w:t xml:space="preserve">в дальнейшем ссылаться на их наступление как на основание, освобождающее или ограничивающее ее ответственность за неисполнение обязательств по Договору. </w:t>
      </w:r>
    </w:p>
    <w:p>
      <w:pPr>
        <w:pStyle w:val="ListParagraph"/>
        <w:widowControl/>
        <w:numPr>
          <w:ilvl w:val="1"/>
          <w:numId w:val="2"/>
        </w:numPr>
        <w:shd w:val="clear" w:color="auto" w:fill="FFFFFF"/>
        <w:tabs>
          <w:tab w:val="clear" w:pos="709"/>
          <w:tab w:val="left" w:pos="0" w:leader="none"/>
          <w:tab w:val="left" w:pos="568" w:leader="none"/>
          <w:tab w:val="left" w:pos="1418" w:leader="none"/>
        </w:tabs>
        <w:ind w:left="0" w:firstLine="709"/>
        <w:jc w:val="both"/>
        <w:rPr>
          <w:bCs/>
          <w:sz w:val="24"/>
          <w:szCs w:val="24"/>
        </w:rPr>
      </w:pPr>
      <w:r>
        <w:rPr>
          <w:bCs/>
          <w:sz w:val="24"/>
          <w:szCs w:val="24"/>
        </w:rPr>
        <w:t>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В случае если обстоятельства непреодолимой силы продолжают действовать более 30 (тридцати) календарных дней либо сроки, требующиеся для устранения Сторонами последствий действия таких обстоятельств непреодолимой силы, превышают указанный срок, Стороны обязуются в кратчайший срок провести переговоры с целью выявления приемлемых для обеих Сторон альтернативных способов исполнения Договора.</w:t>
      </w:r>
    </w:p>
    <w:p>
      <w:pPr>
        <w:pStyle w:val="ListParagraph"/>
        <w:shd w:val="clear" w:color="auto" w:fill="FFFFFF"/>
        <w:tabs>
          <w:tab w:val="clear" w:pos="709"/>
          <w:tab w:val="left" w:pos="0" w:leader="none"/>
          <w:tab w:val="left" w:pos="568" w:leader="none"/>
          <w:tab w:val="left" w:pos="1418" w:leader="none"/>
        </w:tabs>
        <w:ind w:left="0" w:firstLine="709"/>
        <w:jc w:val="both"/>
        <w:rPr>
          <w:bCs/>
          <w:sz w:val="24"/>
          <w:szCs w:val="24"/>
        </w:rPr>
      </w:pPr>
      <w:r>
        <w:rPr>
          <w:bCs/>
          <w:sz w:val="24"/>
          <w:szCs w:val="24"/>
        </w:rPr>
        <w:t xml:space="preserve">При этом любая из Сторон вправе отказаться от исполнения Договора </w:t>
        <w:br/>
        <w:t>в одностороннем внесудебном порядке.</w:t>
      </w:r>
    </w:p>
    <w:p>
      <w:pPr>
        <w:pStyle w:val="Normal"/>
        <w:shd w:val="clear" w:color="auto" w:fill="FFFFFF"/>
        <w:jc w:val="both"/>
        <w:rPr>
          <w:sz w:val="24"/>
          <w:szCs w:val="24"/>
        </w:rPr>
      </w:pPr>
      <w:r>
        <w:rPr>
          <w:sz w:val="24"/>
          <w:szCs w:val="24"/>
        </w:rPr>
      </w:r>
    </w:p>
    <w:p>
      <w:pPr>
        <w:pStyle w:val="Normal"/>
        <w:widowControl/>
        <w:numPr>
          <w:ilvl w:val="0"/>
          <w:numId w:val="2"/>
        </w:numPr>
        <w:shd w:val="clear" w:color="auto" w:fill="FFFFFF"/>
        <w:tabs>
          <w:tab w:val="clear" w:pos="709"/>
          <w:tab w:val="left" w:pos="426" w:leader="none"/>
        </w:tabs>
        <w:spacing w:before="0" w:after="0"/>
        <w:ind w:left="0" w:hanging="0"/>
        <w:contextualSpacing/>
        <w:jc w:val="center"/>
        <w:rPr>
          <w:b/>
          <w:bCs/>
          <w:sz w:val="24"/>
          <w:szCs w:val="24"/>
        </w:rPr>
      </w:pPr>
      <w:r>
        <w:rPr>
          <w:b/>
          <w:bCs/>
          <w:sz w:val="24"/>
          <w:szCs w:val="24"/>
        </w:rPr>
        <w:t>Особые положения</w:t>
      </w:r>
    </w:p>
    <w:p>
      <w:pPr>
        <w:pStyle w:val="ListParagraph"/>
        <w:widowControl/>
        <w:numPr>
          <w:ilvl w:val="1"/>
          <w:numId w:val="2"/>
        </w:numPr>
        <w:shd w:val="clear" w:color="auto" w:fill="FFFFFF"/>
        <w:tabs>
          <w:tab w:val="clear" w:pos="709"/>
          <w:tab w:val="left" w:pos="0" w:leader="none"/>
          <w:tab w:val="left" w:pos="568" w:leader="none"/>
          <w:tab w:val="left" w:pos="1418" w:leader="none"/>
        </w:tabs>
        <w:ind w:left="0" w:firstLine="709"/>
        <w:jc w:val="both"/>
        <w:rPr>
          <w:bCs/>
          <w:sz w:val="24"/>
          <w:szCs w:val="24"/>
        </w:rPr>
      </w:pPr>
      <w:r>
        <w:rPr>
          <w:bCs/>
          <w:sz w:val="24"/>
          <w:szCs w:val="24"/>
        </w:rPr>
        <w:t xml:space="preserve">Поставщик обязуется не привлекать и не допускать привлечения к исполнению обязательств по Договору организации, 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4">
        <w:r>
          <w:rPr>
            <w:bCs/>
            <w:sz w:val="24"/>
            <w:szCs w:val="24"/>
          </w:rPr>
          <w:t>№ 18162/09</w:t>
        </w:r>
      </w:hyperlink>
      <w:r>
        <w:rPr>
          <w:bCs/>
          <w:sz w:val="24"/>
          <w:szCs w:val="24"/>
        </w:rPr>
        <w:t xml:space="preserve"> и от 25.05.2010 </w:t>
      </w:r>
      <w:hyperlink r:id="rId5">
        <w:r>
          <w:rPr>
            <w:bCs/>
            <w:sz w:val="24"/>
            <w:szCs w:val="24"/>
          </w:rPr>
          <w:t>№ 15658/09</w:t>
        </w:r>
      </w:hyperlink>
      <w:r>
        <w:rPr>
          <w:bCs/>
          <w:sz w:val="24"/>
          <w:szCs w:val="24"/>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и/или соответствующие </w:t>
      </w:r>
      <w:hyperlink r:id="rId6">
        <w:r>
          <w:rPr>
            <w:bCs/>
            <w:sz w:val="24"/>
            <w:szCs w:val="24"/>
          </w:rPr>
          <w:t>Критери</w:t>
        </w:r>
      </w:hyperlink>
      <w:r>
        <w:rPr>
          <w:bCs/>
          <w:sz w:val="24"/>
          <w:szCs w:val="24"/>
        </w:rPr>
        <w:t>ям оценки рисков, используемым налоговыми органами в процессе отбора объектов для проведения выездных налоговых проверок (утв. приказом ФНС России от 30.05.2007 № ММ-3-06/333@ или заменяющий его документ).</w:t>
      </w:r>
    </w:p>
    <w:p>
      <w:pPr>
        <w:pStyle w:val="ListParagraph"/>
        <w:widowControl/>
        <w:numPr>
          <w:ilvl w:val="1"/>
          <w:numId w:val="2"/>
        </w:numPr>
        <w:shd w:val="clear" w:color="auto" w:fill="FFFFFF"/>
        <w:tabs>
          <w:tab w:val="clear" w:pos="709"/>
          <w:tab w:val="left" w:pos="0" w:leader="none"/>
          <w:tab w:val="left" w:pos="568" w:leader="none"/>
          <w:tab w:val="left" w:pos="1418" w:leader="none"/>
        </w:tabs>
        <w:ind w:left="0" w:firstLine="709"/>
        <w:jc w:val="both"/>
        <w:rPr>
          <w:bCs/>
          <w:sz w:val="24"/>
          <w:szCs w:val="24"/>
        </w:rPr>
      </w:pPr>
      <w:r>
        <w:rPr>
          <w:bCs/>
          <w:sz w:val="24"/>
          <w:szCs w:val="24"/>
        </w:rPr>
        <w:t>Поставщик обязуется незамедлительно уведомить Покупателя о появлении в ходе исполнения Договора у привлеченных организаций признаков недобросовестности, указанных в пункте 10.1 Договора, а также обеспечить прекращение участия таких организаций в исполнении Договора.</w:t>
      </w:r>
    </w:p>
    <w:p>
      <w:pPr>
        <w:pStyle w:val="ListParagraph"/>
        <w:widowControl/>
        <w:numPr>
          <w:ilvl w:val="1"/>
          <w:numId w:val="2"/>
        </w:numPr>
        <w:shd w:val="clear" w:color="auto" w:fill="FFFFFF"/>
        <w:tabs>
          <w:tab w:val="clear" w:pos="709"/>
          <w:tab w:val="left" w:pos="0" w:leader="none"/>
          <w:tab w:val="left" w:pos="568" w:leader="none"/>
          <w:tab w:val="left" w:pos="1418" w:leader="none"/>
        </w:tabs>
        <w:ind w:left="0" w:firstLine="709"/>
        <w:jc w:val="both"/>
        <w:rPr>
          <w:bCs/>
          <w:sz w:val="24"/>
          <w:szCs w:val="24"/>
        </w:rPr>
      </w:pPr>
      <w:r>
        <w:rPr>
          <w:bCs/>
          <w:sz w:val="24"/>
          <w:szCs w:val="24"/>
        </w:rPr>
        <w:t>В случае нарушения Поставщиком обязательств, установленных пунктами 10.1, 10.2 Договора, Покупатель в дополнение к основаниям, предусмотренным Договором, вправе в одностороннем внесудебном порядке отказаться от Договора путем направления уведомления об отказе от Договора (исполнения Договора) с указанием даты прекращения (расторжения) Договора, которая должна наступать ранее 10 (десяти) рабочих дней с даты получения Поставщиком такого уведомления. Договор считается прекращенным (расторгнутым) с даты, указанной в уведомлении об отказе от Договора (исполнения Договора) при условии, что Покупатель не отзовет указанное Уведомление по итогам рассмотрения мотивированных письменных возражений Поставщика, представленных до наступления указанной Покупателем даты расторжения.</w:t>
      </w:r>
    </w:p>
    <w:p>
      <w:pPr>
        <w:pStyle w:val="ListParagraph"/>
        <w:widowControl/>
        <w:numPr>
          <w:ilvl w:val="1"/>
          <w:numId w:val="2"/>
        </w:numPr>
        <w:shd w:val="clear" w:color="auto" w:fill="FFFFFF"/>
        <w:tabs>
          <w:tab w:val="clear" w:pos="709"/>
          <w:tab w:val="left" w:pos="0" w:leader="none"/>
          <w:tab w:val="left" w:pos="568" w:leader="none"/>
          <w:tab w:val="left" w:pos="1418" w:leader="none"/>
        </w:tabs>
        <w:ind w:left="0" w:firstLine="709"/>
        <w:jc w:val="both"/>
        <w:rPr>
          <w:bCs/>
          <w:sz w:val="24"/>
          <w:szCs w:val="24"/>
        </w:rPr>
      </w:pPr>
      <w:r>
        <w:rPr>
          <w:bCs/>
          <w:sz w:val="24"/>
          <w:szCs w:val="24"/>
        </w:rPr>
        <w:t>Поставщик обязан уплатить Покупателю штраф в размере суммы денежных средств, перечисленной организации, отвечающей признакам недобросовестности, а также дополнительно компенсировать Покупателю убытки, причиненные в результате нарушения обязательств, установленных пунктами 10.1, 10.2 Договора.</w:t>
      </w:r>
    </w:p>
    <w:p>
      <w:pPr>
        <w:pStyle w:val="ListParagraph"/>
        <w:widowControl/>
        <w:numPr>
          <w:ilvl w:val="1"/>
          <w:numId w:val="2"/>
        </w:numPr>
        <w:shd w:val="clear" w:color="auto" w:fill="FFFFFF"/>
        <w:tabs>
          <w:tab w:val="clear" w:pos="709"/>
          <w:tab w:val="left" w:pos="0" w:leader="none"/>
          <w:tab w:val="left" w:pos="568" w:leader="none"/>
          <w:tab w:val="left" w:pos="1418" w:leader="none"/>
        </w:tabs>
        <w:ind w:left="0" w:firstLine="709"/>
        <w:jc w:val="both"/>
        <w:rPr>
          <w:bCs/>
          <w:sz w:val="24"/>
          <w:szCs w:val="24"/>
        </w:rPr>
      </w:pPr>
      <w:r>
        <w:rPr>
          <w:bCs/>
          <w:sz w:val="24"/>
          <w:szCs w:val="24"/>
        </w:rPr>
        <w:t>Штраф, предусмотренный пунктом 10.4 Договора, оплачивается Поставщиком в течение 10 (десяти) рабочих дней с даты получения соответствующего письменного требования Покупателя. Покупатель вправе предъявить требование об уплате штрафа вне зависимости от направления уведомления об отказе от Договора (исполнения Договора), предусмотренного пунктом 10.3 Договора.</w:t>
      </w:r>
    </w:p>
    <w:p>
      <w:pPr>
        <w:pStyle w:val="ListParagraph"/>
        <w:widowControl/>
        <w:numPr>
          <w:ilvl w:val="1"/>
          <w:numId w:val="2"/>
        </w:numPr>
        <w:shd w:val="clear" w:color="auto" w:fill="FFFFFF"/>
        <w:tabs>
          <w:tab w:val="clear" w:pos="709"/>
          <w:tab w:val="left" w:pos="0" w:leader="none"/>
          <w:tab w:val="left" w:pos="568" w:leader="none"/>
          <w:tab w:val="left" w:pos="1418" w:leader="none"/>
        </w:tabs>
        <w:ind w:left="0" w:firstLine="709"/>
        <w:jc w:val="both"/>
        <w:rPr>
          <w:bCs/>
          <w:sz w:val="24"/>
          <w:szCs w:val="24"/>
        </w:rPr>
      </w:pPr>
      <w:r>
        <w:rPr>
          <w:bCs/>
          <w:sz w:val="24"/>
          <w:szCs w:val="24"/>
        </w:rPr>
        <w:t>Покупатель вправе приостановить осуществление любых платежей по Договору, причитающихся Поставщику, независимо от наличия оснований и наступления сроков таких платежей, до уплаты Поставщиком штрафа, предусмотренного пунктом 10.4 Договора. При этом Покупатель не будет считаться просрочившим и / или нарушившим свои обязательства по Договору.</w:t>
      </w:r>
    </w:p>
    <w:p>
      <w:pPr>
        <w:pStyle w:val="ListParagraph"/>
        <w:widowControl/>
        <w:numPr>
          <w:ilvl w:val="1"/>
          <w:numId w:val="2"/>
        </w:numPr>
        <w:shd w:val="clear" w:color="auto" w:fill="FFFFFF"/>
        <w:tabs>
          <w:tab w:val="clear" w:pos="709"/>
          <w:tab w:val="left" w:pos="0" w:leader="none"/>
          <w:tab w:val="left" w:pos="568" w:leader="none"/>
          <w:tab w:val="left" w:pos="1418" w:leader="none"/>
        </w:tabs>
        <w:ind w:left="0" w:firstLine="709"/>
        <w:jc w:val="both"/>
        <w:rPr>
          <w:bCs/>
          <w:sz w:val="24"/>
          <w:szCs w:val="24"/>
        </w:rPr>
      </w:pPr>
      <w:r>
        <w:rPr>
          <w:bCs/>
          <w:sz w:val="24"/>
          <w:szCs w:val="24"/>
        </w:rPr>
        <w:t>Независимо от других положений Договора, положения пунктов 10.4, 10.5 Договора продолжают действовать в течение 4 (четырех) лет после его прекращения (расторжения) или исполнения.</w:t>
      </w:r>
    </w:p>
    <w:p>
      <w:pPr>
        <w:pStyle w:val="Normal"/>
        <w:shd w:val="clear" w:color="auto" w:fill="FFFFFF"/>
        <w:tabs>
          <w:tab w:val="clear" w:pos="709"/>
          <w:tab w:val="left" w:pos="1134" w:leader="none"/>
        </w:tabs>
        <w:ind w:firstLine="709"/>
        <w:jc w:val="both"/>
        <w:rPr>
          <w:bCs/>
          <w:sz w:val="24"/>
          <w:szCs w:val="24"/>
        </w:rPr>
      </w:pPr>
      <w:r>
        <w:rPr>
          <w:bCs/>
          <w:sz w:val="24"/>
          <w:szCs w:val="24"/>
        </w:rPr>
      </w:r>
    </w:p>
    <w:p>
      <w:pPr>
        <w:pStyle w:val="ListParagraph"/>
        <w:widowControl/>
        <w:numPr>
          <w:ilvl w:val="0"/>
          <w:numId w:val="2"/>
        </w:numPr>
        <w:shd w:val="clear" w:color="auto" w:fill="FFFFFF"/>
        <w:tabs>
          <w:tab w:val="clear" w:pos="709"/>
          <w:tab w:val="left" w:pos="426" w:leader="none"/>
          <w:tab w:val="left" w:pos="567" w:leader="none"/>
        </w:tabs>
        <w:ind w:left="0" w:hanging="0"/>
        <w:jc w:val="center"/>
        <w:rPr>
          <w:b/>
          <w:sz w:val="24"/>
          <w:szCs w:val="24"/>
        </w:rPr>
      </w:pPr>
      <w:r>
        <w:rPr>
          <w:b/>
          <w:bCs/>
          <w:sz w:val="24"/>
          <w:szCs w:val="24"/>
        </w:rPr>
        <w:t>Заверения</w:t>
      </w:r>
      <w:r>
        <w:rPr>
          <w:b/>
          <w:sz w:val="24"/>
          <w:szCs w:val="24"/>
        </w:rPr>
        <w:t xml:space="preserve"> Сторон</w:t>
      </w:r>
    </w:p>
    <w:p>
      <w:pPr>
        <w:pStyle w:val="ListParagraph"/>
        <w:widowControl/>
        <w:numPr>
          <w:ilvl w:val="1"/>
          <w:numId w:val="2"/>
        </w:numPr>
        <w:shd w:val="clear" w:color="auto" w:fill="FFFFFF"/>
        <w:tabs>
          <w:tab w:val="clear" w:pos="709"/>
          <w:tab w:val="left" w:pos="0" w:leader="none"/>
          <w:tab w:val="left" w:pos="1134" w:leader="none"/>
          <w:tab w:val="left" w:pos="1418" w:leader="none"/>
        </w:tabs>
        <w:ind w:left="0" w:firstLine="709"/>
        <w:jc w:val="both"/>
        <w:rPr>
          <w:sz w:val="24"/>
          <w:szCs w:val="24"/>
        </w:rPr>
      </w:pPr>
      <w:r>
        <w:rPr>
          <w:bCs/>
          <w:sz w:val="24"/>
          <w:szCs w:val="24"/>
        </w:rPr>
        <w:t>Каждая</w:t>
      </w:r>
      <w:r>
        <w:rPr>
          <w:sz w:val="24"/>
          <w:szCs w:val="24"/>
        </w:rPr>
        <w:t xml:space="preserve"> из Сторон заявляет и подтверждает другой Стороне, что: </w:t>
      </w:r>
    </w:p>
    <w:p>
      <w:pPr>
        <w:pStyle w:val="ListParagraph"/>
        <w:widowControl/>
        <w:numPr>
          <w:ilvl w:val="0"/>
          <w:numId w:val="7"/>
        </w:numPr>
        <w:shd w:val="clear" w:color="auto" w:fill="FFFFFF"/>
        <w:tabs>
          <w:tab w:val="left" w:pos="0" w:leader="none"/>
          <w:tab w:val="left" w:pos="709" w:leader="none"/>
          <w:tab w:val="left" w:pos="1418" w:leader="none"/>
        </w:tabs>
        <w:ind w:left="0" w:firstLine="709"/>
        <w:jc w:val="both"/>
        <w:rPr>
          <w:sz w:val="24"/>
          <w:szCs w:val="24"/>
        </w:rPr>
      </w:pPr>
      <w:r>
        <w:rPr>
          <w:sz w:val="24"/>
          <w:szCs w:val="24"/>
        </w:rPr>
        <w:t xml:space="preserve">она является юридическим лицом, надлежащим образом учрежденным </w:t>
        <w:br/>
        <w:t>и правомерно осуществляющим свою деятельность в соответствии с законодательством Российской Федерации;</w:t>
      </w:r>
    </w:p>
    <w:p>
      <w:pPr>
        <w:pStyle w:val="ListParagraph"/>
        <w:widowControl/>
        <w:numPr>
          <w:ilvl w:val="0"/>
          <w:numId w:val="7"/>
        </w:numPr>
        <w:shd w:val="clear" w:color="auto" w:fill="FFFFFF"/>
        <w:tabs>
          <w:tab w:val="left" w:pos="0" w:leader="none"/>
          <w:tab w:val="left" w:pos="709" w:leader="none"/>
          <w:tab w:val="left" w:pos="1418" w:leader="none"/>
        </w:tabs>
        <w:ind w:left="0" w:firstLine="709"/>
        <w:jc w:val="both"/>
        <w:rPr>
          <w:sz w:val="24"/>
          <w:szCs w:val="24"/>
        </w:rPr>
      </w:pPr>
      <w:r>
        <w:rPr>
          <w:sz w:val="24"/>
          <w:szCs w:val="24"/>
        </w:rPr>
        <w:t xml:space="preserve">она обладает полной правоспособностью на заключение Договора </w:t>
        <w:br/>
        <w:t>и исполнение всех своих обязательств, возникающих из Договора или в связи с ним;</w:t>
      </w:r>
    </w:p>
    <w:p>
      <w:pPr>
        <w:pStyle w:val="ListParagraph"/>
        <w:widowControl/>
        <w:numPr>
          <w:ilvl w:val="0"/>
          <w:numId w:val="7"/>
        </w:numPr>
        <w:shd w:val="clear" w:color="auto" w:fill="FFFFFF"/>
        <w:tabs>
          <w:tab w:val="left" w:pos="0" w:leader="none"/>
          <w:tab w:val="left" w:pos="709" w:leader="none"/>
          <w:tab w:val="left" w:pos="1418" w:leader="none"/>
        </w:tabs>
        <w:ind w:left="0" w:firstLine="709"/>
        <w:jc w:val="both"/>
        <w:rPr>
          <w:sz w:val="24"/>
          <w:szCs w:val="24"/>
        </w:rPr>
      </w:pPr>
      <w:r>
        <w:rPr>
          <w:sz w:val="24"/>
          <w:szCs w:val="24"/>
        </w:rPr>
        <w:t xml:space="preserve">она получила все корпоративные одобрения Договора органами управления </w:t>
        <w:br/>
        <w:t xml:space="preserve">по основаниям, установленным законодательством Российской Федерации и / или учредительными документами такой Стороны, а также согласования и разрешения органов </w:t>
        <w:br/>
        <w:t>и иных лиц, необходимые для заключения и исполнения Договора;</w:t>
      </w:r>
    </w:p>
    <w:p>
      <w:pPr>
        <w:pStyle w:val="ListParagraph"/>
        <w:widowControl/>
        <w:numPr>
          <w:ilvl w:val="0"/>
          <w:numId w:val="7"/>
        </w:numPr>
        <w:shd w:val="clear" w:color="auto" w:fill="FFFFFF"/>
        <w:tabs>
          <w:tab w:val="left" w:pos="0" w:leader="none"/>
          <w:tab w:val="left" w:pos="709" w:leader="none"/>
          <w:tab w:val="left" w:pos="1418" w:leader="none"/>
        </w:tabs>
        <w:ind w:left="0" w:firstLine="709"/>
        <w:jc w:val="both"/>
        <w:rPr>
          <w:sz w:val="24"/>
          <w:szCs w:val="24"/>
        </w:rPr>
      </w:pPr>
      <w:r>
        <w:rPr>
          <w:sz w:val="24"/>
          <w:szCs w:val="24"/>
        </w:rPr>
        <w:t>лица, подписывающие от имени Сторон Договор, надлежащим образом уполномочены на его подписание;</w:t>
      </w:r>
    </w:p>
    <w:p>
      <w:pPr>
        <w:pStyle w:val="ListParagraph"/>
        <w:widowControl/>
        <w:numPr>
          <w:ilvl w:val="0"/>
          <w:numId w:val="7"/>
        </w:numPr>
        <w:shd w:val="clear" w:color="auto" w:fill="FFFFFF"/>
        <w:tabs>
          <w:tab w:val="left" w:pos="0" w:leader="none"/>
          <w:tab w:val="left" w:pos="709" w:leader="none"/>
          <w:tab w:val="left" w:pos="1418" w:leader="none"/>
        </w:tabs>
        <w:ind w:left="0" w:firstLine="709"/>
        <w:jc w:val="both"/>
        <w:rPr>
          <w:sz w:val="24"/>
          <w:szCs w:val="24"/>
        </w:rPr>
      </w:pPr>
      <w:r>
        <w:rPr>
          <w:sz w:val="24"/>
          <w:szCs w:val="24"/>
        </w:rPr>
        <w:t xml:space="preserve">она располагает ресурсами, необходимыми и достаточными для своевременного и надлежащего исполнения обязательств, возникающих из Договора </w:t>
        <w:br/>
        <w:t xml:space="preserve">или в связи с ним. </w:t>
      </w:r>
    </w:p>
    <w:p>
      <w:pPr>
        <w:pStyle w:val="ListParagraph"/>
        <w:widowControl/>
        <w:numPr>
          <w:ilvl w:val="1"/>
          <w:numId w:val="2"/>
        </w:numPr>
        <w:shd w:val="clear" w:color="auto" w:fill="FFFFFF"/>
        <w:tabs>
          <w:tab w:val="clear" w:pos="709"/>
          <w:tab w:val="left" w:pos="0" w:leader="none"/>
          <w:tab w:val="left" w:pos="1418" w:leader="none"/>
        </w:tabs>
        <w:ind w:left="0" w:firstLine="709"/>
        <w:jc w:val="both"/>
        <w:rPr>
          <w:sz w:val="24"/>
          <w:szCs w:val="24"/>
        </w:rPr>
      </w:pPr>
      <w:r>
        <w:rPr>
          <w:sz w:val="24"/>
          <w:szCs w:val="24"/>
        </w:rPr>
        <w:t>Поставщик заявляет и заверяет Покупателя в том, что на момент заключения Договора:</w:t>
      </w:r>
    </w:p>
    <w:p>
      <w:pPr>
        <w:pStyle w:val="ListParagraph"/>
        <w:widowControl/>
        <w:numPr>
          <w:ilvl w:val="0"/>
          <w:numId w:val="9"/>
        </w:numPr>
        <w:shd w:val="clear" w:color="auto" w:fill="FFFFFF"/>
        <w:tabs>
          <w:tab w:val="left" w:pos="0" w:leader="none"/>
          <w:tab w:val="left" w:pos="709" w:leader="none"/>
        </w:tabs>
        <w:ind w:left="0" w:firstLine="709"/>
        <w:jc w:val="both"/>
        <w:rPr>
          <w:sz w:val="24"/>
          <w:szCs w:val="24"/>
        </w:rPr>
      </w:pPr>
      <w:r>
        <w:rPr>
          <w:sz w:val="24"/>
          <w:szCs w:val="24"/>
        </w:rPr>
        <w:t>учредителем / учредителями Поставщика являются лица, не являющиеся массовыми учредителем / учредителями;</w:t>
      </w:r>
    </w:p>
    <w:p>
      <w:pPr>
        <w:pStyle w:val="ListParagraph"/>
        <w:widowControl/>
        <w:numPr>
          <w:ilvl w:val="0"/>
          <w:numId w:val="9"/>
        </w:numPr>
        <w:shd w:val="clear" w:color="auto" w:fill="FFFFFF"/>
        <w:tabs>
          <w:tab w:val="left" w:pos="0" w:leader="none"/>
          <w:tab w:val="left" w:pos="709" w:leader="none"/>
        </w:tabs>
        <w:ind w:left="0" w:firstLine="709"/>
        <w:jc w:val="both"/>
        <w:rPr>
          <w:sz w:val="24"/>
          <w:szCs w:val="24"/>
        </w:rPr>
      </w:pPr>
      <w:r>
        <w:rPr>
          <w:sz w:val="24"/>
          <w:szCs w:val="24"/>
        </w:rPr>
        <w:t>руководителем Поставщика является лицо, не являющееся массовым руководителем;</w:t>
      </w:r>
    </w:p>
    <w:p>
      <w:pPr>
        <w:pStyle w:val="ListParagraph"/>
        <w:widowControl/>
        <w:numPr>
          <w:ilvl w:val="0"/>
          <w:numId w:val="9"/>
        </w:numPr>
        <w:shd w:val="clear" w:color="auto" w:fill="FFFFFF"/>
        <w:tabs>
          <w:tab w:val="left" w:pos="0" w:leader="none"/>
          <w:tab w:val="left" w:pos="709" w:leader="none"/>
        </w:tabs>
        <w:ind w:left="0" w:firstLine="709"/>
        <w:jc w:val="both"/>
        <w:rPr>
          <w:sz w:val="24"/>
          <w:szCs w:val="24"/>
        </w:rPr>
      </w:pPr>
      <w:r>
        <w:rPr>
          <w:sz w:val="24"/>
          <w:szCs w:val="24"/>
        </w:rPr>
        <w:t xml:space="preserve">Поставщик фактически находится по адресу, указанному в Едином государственном реестре юридических лиц; </w:t>
      </w:r>
    </w:p>
    <w:p>
      <w:pPr>
        <w:pStyle w:val="ListParagraph"/>
        <w:widowControl/>
        <w:numPr>
          <w:ilvl w:val="0"/>
          <w:numId w:val="9"/>
        </w:numPr>
        <w:shd w:val="clear" w:color="auto" w:fill="FFFFFF"/>
        <w:tabs>
          <w:tab w:val="left" w:pos="0" w:leader="none"/>
          <w:tab w:val="left" w:pos="709" w:leader="none"/>
        </w:tabs>
        <w:ind w:left="0" w:firstLine="709"/>
        <w:jc w:val="both"/>
        <w:rPr>
          <w:sz w:val="24"/>
          <w:szCs w:val="24"/>
        </w:rPr>
      </w:pPr>
      <w:r>
        <w:rPr>
          <w:sz w:val="24"/>
          <w:szCs w:val="24"/>
        </w:rPr>
        <w:t xml:space="preserve">Поставщик своевременно и в полном объеме уплачивает налоги и сборы </w:t>
        <w:br/>
        <w:t>в соответствии с законодательством Российской Федерации;</w:t>
      </w:r>
    </w:p>
    <w:p>
      <w:pPr>
        <w:pStyle w:val="ListParagraph"/>
        <w:widowControl/>
        <w:numPr>
          <w:ilvl w:val="0"/>
          <w:numId w:val="8"/>
        </w:numPr>
        <w:shd w:val="clear" w:color="auto" w:fill="FFFFFF"/>
        <w:tabs>
          <w:tab w:val="clear" w:pos="709"/>
          <w:tab w:val="left" w:pos="0" w:leader="none"/>
          <w:tab w:val="left" w:pos="567" w:leader="none"/>
        </w:tabs>
        <w:ind w:left="0" w:firstLine="709"/>
        <w:jc w:val="both"/>
        <w:rPr>
          <w:sz w:val="24"/>
          <w:szCs w:val="24"/>
        </w:rPr>
      </w:pPr>
      <w:r>
        <w:rPr>
          <w:sz w:val="24"/>
          <w:szCs w:val="24"/>
        </w:rPr>
        <w:t xml:space="preserve">Поставщик не находится в процедуре несостоятельности (банкротства) </w:t>
        <w:br/>
        <w:t>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 органов государственной власти и должностных лиц, иные обстоятельства способные повлиять на возможность Поставщика должным образом исполнять обязательства, возникающие из Договора или в связи с ним;</w:t>
      </w:r>
    </w:p>
    <w:p>
      <w:pPr>
        <w:pStyle w:val="ListParagraph"/>
        <w:widowControl/>
        <w:numPr>
          <w:ilvl w:val="0"/>
          <w:numId w:val="8"/>
        </w:numPr>
        <w:shd w:val="clear" w:color="auto" w:fill="FFFFFF"/>
        <w:tabs>
          <w:tab w:val="clear" w:pos="709"/>
          <w:tab w:val="left" w:pos="0" w:leader="none"/>
          <w:tab w:val="left" w:pos="567" w:leader="none"/>
        </w:tabs>
        <w:ind w:left="0" w:firstLine="709"/>
        <w:jc w:val="both"/>
        <w:rPr>
          <w:sz w:val="24"/>
          <w:szCs w:val="24"/>
        </w:rPr>
      </w:pPr>
      <w:r>
        <w:rPr>
          <w:sz w:val="24"/>
          <w:szCs w:val="24"/>
        </w:rPr>
        <w:t xml:space="preserve">Поставщик тщательно изучил всю информацию, связанную с Договором, </w:t>
        <w:br/>
        <w:t>в том числе по вопросам, влияющим на сроки, стоимость и качество Товара, полностью ознакомлен со всеми условиями поставки Товара, и принимает на себя все расходы, риски и трудности исполнения обязательств, возникающих из Договора или в связи с ним;</w:t>
      </w:r>
    </w:p>
    <w:p>
      <w:pPr>
        <w:pStyle w:val="ListParagraph"/>
        <w:widowControl/>
        <w:numPr>
          <w:ilvl w:val="0"/>
          <w:numId w:val="8"/>
        </w:numPr>
        <w:shd w:val="clear" w:color="auto" w:fill="FFFFFF"/>
        <w:tabs>
          <w:tab w:val="clear" w:pos="709"/>
          <w:tab w:val="left" w:pos="0" w:leader="none"/>
          <w:tab w:val="left" w:pos="567" w:leader="none"/>
        </w:tabs>
        <w:ind w:left="0" w:firstLine="709"/>
        <w:jc w:val="both"/>
        <w:rPr>
          <w:sz w:val="24"/>
          <w:szCs w:val="24"/>
        </w:rPr>
      </w:pPr>
      <w:r>
        <w:rPr>
          <w:sz w:val="24"/>
          <w:szCs w:val="24"/>
        </w:rPr>
        <w:t xml:space="preserve">Поставщик своевременно и в полном объеме в соответствии </w:t>
        <w:br/>
        <w:t>с законодательством Российской Федерации намерен отражать все финансово-хозяйственные операции, связанные с исполнением Договора;</w:t>
      </w:r>
    </w:p>
    <w:p>
      <w:pPr>
        <w:pStyle w:val="ListParagraph"/>
        <w:widowControl/>
        <w:numPr>
          <w:ilvl w:val="0"/>
          <w:numId w:val="8"/>
        </w:numPr>
        <w:shd w:val="clear" w:color="auto" w:fill="FFFFFF"/>
        <w:tabs>
          <w:tab w:val="clear" w:pos="709"/>
          <w:tab w:val="left" w:pos="0" w:leader="none"/>
          <w:tab w:val="left" w:pos="567" w:leader="none"/>
        </w:tabs>
        <w:ind w:left="0" w:firstLine="709"/>
        <w:jc w:val="both"/>
        <w:rPr>
          <w:sz w:val="24"/>
          <w:szCs w:val="24"/>
        </w:rPr>
      </w:pPr>
      <w:r>
        <w:rPr>
          <w:sz w:val="24"/>
          <w:szCs w:val="24"/>
        </w:rPr>
        <w:t xml:space="preserve">вся информация, предоставленная Покупателю, является достоверной, полной </w:t>
        <w:br/>
        <w:t>и точной, и Поставщик не скрыл никаких обстоятельств, которые при их обнаружении могли бы негативно повлиять на решение Покупателя заключить Договор на указанных в нем условиях.</w:t>
      </w:r>
    </w:p>
    <w:p>
      <w:pPr>
        <w:pStyle w:val="Normal"/>
        <w:widowControl/>
        <w:numPr>
          <w:ilvl w:val="1"/>
          <w:numId w:val="2"/>
        </w:numPr>
        <w:tabs>
          <w:tab w:val="clear" w:pos="709"/>
          <w:tab w:val="left" w:pos="0" w:leader="none"/>
          <w:tab w:val="left" w:pos="1418" w:leader="none"/>
        </w:tabs>
        <w:ind w:left="0" w:firstLine="709"/>
        <w:jc w:val="both"/>
        <w:rPr>
          <w:sz w:val="24"/>
          <w:szCs w:val="24"/>
        </w:rPr>
      </w:pPr>
      <w:r>
        <w:rPr>
          <w:sz w:val="24"/>
          <w:szCs w:val="24"/>
        </w:rPr>
        <w:t xml:space="preserve">При заключении и исполнении Договора каждая Сторона полагается </w:t>
        <w:br/>
        <w:t xml:space="preserve">на достоверность, точность и полноту заверений другой Стороны, изложенных в настоящем разделе Договора. </w:t>
      </w:r>
    </w:p>
    <w:p>
      <w:pPr>
        <w:pStyle w:val="ListParagraph"/>
        <w:widowControl/>
        <w:numPr>
          <w:ilvl w:val="1"/>
          <w:numId w:val="2"/>
        </w:numPr>
        <w:shd w:val="clear" w:color="auto" w:fill="FFFFFF"/>
        <w:tabs>
          <w:tab w:val="clear" w:pos="709"/>
          <w:tab w:val="left" w:pos="0" w:leader="none"/>
          <w:tab w:val="left" w:pos="1418" w:leader="none"/>
        </w:tabs>
        <w:ind w:left="0" w:firstLine="709"/>
        <w:jc w:val="both"/>
        <w:rPr>
          <w:sz w:val="24"/>
          <w:szCs w:val="24"/>
        </w:rPr>
      </w:pPr>
      <w:r>
        <w:rPr>
          <w:sz w:val="24"/>
          <w:szCs w:val="24"/>
        </w:rPr>
        <w:t xml:space="preserve">В случае, если </w:t>
      </w:r>
      <w:r>
        <w:rPr>
          <w:bCs/>
          <w:sz w:val="24"/>
          <w:szCs w:val="24"/>
        </w:rPr>
        <w:t xml:space="preserve">Поставщик </w:t>
      </w:r>
      <w:r>
        <w:rPr>
          <w:sz w:val="24"/>
          <w:szCs w:val="24"/>
        </w:rPr>
        <w:t xml:space="preserve">при заключении Договора предоставил Покупателю недостоверные заверения о любом из указанных в настоящем разделе Договора обстоятельств, имеющих существенное значение для заключения и исполнения Договора, </w:t>
      </w:r>
      <w:r>
        <w:rPr>
          <w:bCs/>
          <w:sz w:val="24"/>
          <w:szCs w:val="24"/>
        </w:rPr>
        <w:t xml:space="preserve">Поставщик </w:t>
      </w:r>
      <w:r>
        <w:rPr>
          <w:sz w:val="24"/>
          <w:szCs w:val="24"/>
        </w:rPr>
        <w:t>обязан по письменному требованию Покупателя уплатить последнему штраф в размере 5 (пяти) процентов от Цены Договора, указанной в пункте 2.1 Договора.</w:t>
      </w:r>
    </w:p>
    <w:p>
      <w:pPr>
        <w:pStyle w:val="ListParagraph"/>
        <w:widowControl/>
        <w:numPr>
          <w:ilvl w:val="1"/>
          <w:numId w:val="2"/>
        </w:numPr>
        <w:shd w:val="clear" w:color="auto" w:fill="FFFFFF"/>
        <w:tabs>
          <w:tab w:val="clear" w:pos="709"/>
          <w:tab w:val="left" w:pos="0" w:leader="none"/>
          <w:tab w:val="left" w:pos="1418" w:leader="none"/>
        </w:tabs>
        <w:ind w:left="0" w:firstLine="709"/>
        <w:jc w:val="both"/>
        <w:rPr>
          <w:sz w:val="24"/>
          <w:szCs w:val="24"/>
        </w:rPr>
      </w:pPr>
      <w:r>
        <w:rPr>
          <w:sz w:val="24"/>
          <w:szCs w:val="24"/>
        </w:rPr>
        <w:t>Недостоверность, неточность или неполнота любых указанных в настоящем разделе Договора 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 без возмещения другой Стороне каких-либо убытков, причиненных отказом от Договора (исполнения Договора).</w:t>
      </w:r>
    </w:p>
    <w:p>
      <w:pPr>
        <w:pStyle w:val="ListParagraph"/>
        <w:widowControl/>
        <w:shd w:val="clear" w:color="auto" w:fill="FFFFFF"/>
        <w:tabs>
          <w:tab w:val="clear" w:pos="709"/>
          <w:tab w:val="left" w:pos="1134" w:leader="none"/>
          <w:tab w:val="left" w:pos="1418" w:leader="none"/>
        </w:tabs>
        <w:ind w:left="0" w:hanging="0"/>
        <w:jc w:val="both"/>
        <w:rPr>
          <w:sz w:val="24"/>
          <w:szCs w:val="24"/>
        </w:rPr>
      </w:pPr>
      <w:r>
        <w:rPr>
          <w:sz w:val="24"/>
          <w:szCs w:val="24"/>
        </w:rPr>
      </w:r>
    </w:p>
    <w:p>
      <w:pPr>
        <w:pStyle w:val="ListParagraph"/>
        <w:widowControl/>
        <w:numPr>
          <w:ilvl w:val="0"/>
          <w:numId w:val="2"/>
        </w:numPr>
        <w:shd w:val="clear" w:color="auto" w:fill="FFFFFF"/>
        <w:tabs>
          <w:tab w:val="clear" w:pos="709"/>
          <w:tab w:val="left" w:pos="426" w:leader="none"/>
        </w:tabs>
        <w:ind w:left="0" w:hanging="0"/>
        <w:jc w:val="center"/>
        <w:rPr>
          <w:b/>
          <w:sz w:val="24"/>
          <w:szCs w:val="24"/>
        </w:rPr>
      </w:pPr>
      <w:r>
        <w:rPr>
          <w:b/>
          <w:bCs/>
          <w:sz w:val="24"/>
          <w:szCs w:val="24"/>
        </w:rPr>
        <w:t>П</w:t>
      </w:r>
      <w:r>
        <w:rPr>
          <w:b/>
          <w:sz w:val="24"/>
          <w:szCs w:val="24"/>
        </w:rPr>
        <w:t>рекращение (расторжение) Договора</w:t>
      </w:r>
    </w:p>
    <w:p>
      <w:pPr>
        <w:pStyle w:val="ListParagraph"/>
        <w:widowControl/>
        <w:numPr>
          <w:ilvl w:val="1"/>
          <w:numId w:val="2"/>
        </w:numPr>
        <w:shd w:val="clear" w:color="auto" w:fill="FFFFFF"/>
        <w:tabs>
          <w:tab w:val="clear" w:pos="709"/>
          <w:tab w:val="left" w:pos="0" w:leader="none"/>
          <w:tab w:val="left" w:pos="1418" w:leader="none"/>
        </w:tabs>
        <w:ind w:left="0" w:firstLine="709"/>
        <w:jc w:val="both"/>
        <w:rPr>
          <w:sz w:val="24"/>
          <w:szCs w:val="24"/>
        </w:rPr>
      </w:pPr>
      <w:r>
        <w:rPr>
          <w:sz w:val="24"/>
          <w:szCs w:val="24"/>
        </w:rPr>
        <w:t>Договор может быть прекращен (расторгнут) по соглашению Сторон. Сторона, имеющая намерение расторгнуть Договор, направляет письменное уведомление об этом другой Стороне в порядке, предусмотренном пунктом 13.6 Договора, с приложением подписанного соглашения о расторжении Договора. Уведомление должно быть рассмотрено Стороной-получателем в течение 30 (тридцати) календарных дней со дня его получения.</w:t>
      </w:r>
    </w:p>
    <w:p>
      <w:pPr>
        <w:pStyle w:val="ListParagraph"/>
        <w:widowControl/>
        <w:numPr>
          <w:ilvl w:val="1"/>
          <w:numId w:val="2"/>
        </w:numPr>
        <w:shd w:val="clear" w:color="auto" w:fill="FFFFFF"/>
        <w:tabs>
          <w:tab w:val="clear" w:pos="709"/>
          <w:tab w:val="left" w:pos="0" w:leader="none"/>
          <w:tab w:val="left" w:pos="1418" w:leader="none"/>
        </w:tabs>
        <w:ind w:left="0" w:firstLine="709"/>
        <w:jc w:val="both"/>
        <w:rPr>
          <w:sz w:val="24"/>
          <w:szCs w:val="24"/>
        </w:rPr>
      </w:pPr>
      <w:r>
        <w:rPr>
          <w:sz w:val="24"/>
          <w:szCs w:val="24"/>
        </w:rPr>
        <w:t xml:space="preserve">В случае существенного нарушения Договора Поставщиком Покупатель вправе </w:t>
        <w:br/>
        <w:t>в одностороннем внесудебном порядке отказаться от Договора и потребовать полного возмещения Поставщиком убытков, причиненных отказом от Договора (исполнения Договора).</w:t>
      </w:r>
    </w:p>
    <w:p>
      <w:pPr>
        <w:pStyle w:val="ListParagraph"/>
        <w:shd w:val="clear" w:color="auto" w:fill="FFFFFF"/>
        <w:tabs>
          <w:tab w:val="clear" w:pos="709"/>
          <w:tab w:val="left" w:pos="0" w:leader="none"/>
          <w:tab w:val="left" w:pos="1418" w:leader="none"/>
        </w:tabs>
        <w:ind w:left="0" w:firstLine="709"/>
        <w:jc w:val="both"/>
        <w:rPr>
          <w:sz w:val="24"/>
          <w:szCs w:val="24"/>
        </w:rPr>
      </w:pPr>
      <w:r>
        <w:rPr>
          <w:sz w:val="24"/>
          <w:szCs w:val="24"/>
        </w:rPr>
        <w:t>Покупатель одновременно с уведомлением об отказе от Договора (исполнения Договора) направляет Поставщику письменное требование о возмещении убытков с приложением расчета суммы убытков. Поставщик обязан возместить Покупателю убытки не позднее 15 (пятнадцати) календарных дней с момента получения расчета суммы убытков от Покупателя.</w:t>
      </w:r>
    </w:p>
    <w:p>
      <w:pPr>
        <w:pStyle w:val="ListParagraph"/>
        <w:widowControl/>
        <w:numPr>
          <w:ilvl w:val="1"/>
          <w:numId w:val="2"/>
        </w:numPr>
        <w:shd w:val="clear" w:color="auto" w:fill="FFFFFF"/>
        <w:tabs>
          <w:tab w:val="clear" w:pos="709"/>
          <w:tab w:val="left" w:pos="0" w:leader="none"/>
          <w:tab w:val="left" w:pos="1418" w:leader="none"/>
        </w:tabs>
        <w:ind w:left="0" w:firstLine="709"/>
        <w:jc w:val="both"/>
        <w:rPr>
          <w:sz w:val="24"/>
          <w:szCs w:val="24"/>
        </w:rPr>
      </w:pPr>
      <w:r>
        <w:rPr>
          <w:sz w:val="24"/>
          <w:szCs w:val="24"/>
        </w:rPr>
        <w:t>Стороны установили, что существенным нарушением Договора Поставщиком является:</w:t>
      </w:r>
    </w:p>
    <w:p>
      <w:pPr>
        <w:pStyle w:val="ListParagraph"/>
        <w:widowControl/>
        <w:numPr>
          <w:ilvl w:val="0"/>
          <w:numId w:val="6"/>
        </w:numPr>
        <w:tabs>
          <w:tab w:val="clear" w:pos="709"/>
          <w:tab w:val="left" w:pos="0" w:leader="none"/>
          <w:tab w:val="left" w:pos="1418" w:leader="none"/>
        </w:tabs>
        <w:ind w:left="0" w:firstLine="709"/>
        <w:jc w:val="both"/>
        <w:rPr>
          <w:sz w:val="24"/>
          <w:szCs w:val="24"/>
        </w:rPr>
      </w:pPr>
      <w:r>
        <w:rPr>
          <w:sz w:val="24"/>
          <w:szCs w:val="24"/>
        </w:rPr>
        <w:t>нарушение Поставщиком общего срока поставки Товара по Договору, а также промежуточных сроков поставки Товара, установленных Договором, более чем на 60 (шестьдесят) календарных дней по причинам, не зависящим от Покупателя;</w:t>
      </w:r>
    </w:p>
    <w:p>
      <w:pPr>
        <w:pStyle w:val="ListParagraph"/>
        <w:widowControl/>
        <w:numPr>
          <w:ilvl w:val="0"/>
          <w:numId w:val="6"/>
        </w:numPr>
        <w:tabs>
          <w:tab w:val="clear" w:pos="709"/>
          <w:tab w:val="left" w:pos="0" w:leader="none"/>
          <w:tab w:val="left" w:pos="1418" w:leader="none"/>
        </w:tabs>
        <w:ind w:left="0" w:firstLine="709"/>
        <w:jc w:val="both"/>
        <w:rPr>
          <w:sz w:val="24"/>
          <w:szCs w:val="24"/>
        </w:rPr>
      </w:pPr>
      <w:r>
        <w:rPr>
          <w:sz w:val="24"/>
          <w:szCs w:val="24"/>
        </w:rPr>
        <w:t>несоблюдение Поставщиком требований к качеству Товара, если исправление выявленных Покупателем недостатков (дефектов) Товара, влечет нарушение сроков поставки Товара, более чем на 60 (шестьдесят) календарных дней либо такие недостатки (дефекты) являются неустранимыми;</w:t>
      </w:r>
    </w:p>
    <w:p>
      <w:pPr>
        <w:pStyle w:val="ListParagraph"/>
        <w:widowControl/>
        <w:numPr>
          <w:ilvl w:val="0"/>
          <w:numId w:val="6"/>
        </w:numPr>
        <w:tabs>
          <w:tab w:val="clear" w:pos="709"/>
          <w:tab w:val="left" w:pos="0" w:leader="none"/>
          <w:tab w:val="left" w:pos="1418" w:leader="none"/>
        </w:tabs>
        <w:ind w:left="0" w:firstLine="709"/>
        <w:jc w:val="both"/>
        <w:rPr>
          <w:sz w:val="24"/>
          <w:szCs w:val="24"/>
        </w:rPr>
      </w:pPr>
      <w:r>
        <w:rPr>
          <w:sz w:val="24"/>
          <w:szCs w:val="24"/>
        </w:rPr>
        <w:t>наложение ареста на имущество Поставщика, введение арбитражным судом процедуры несостоятельности (банкротства) в отношении Поставщика;</w:t>
      </w:r>
    </w:p>
    <w:p>
      <w:pPr>
        <w:pStyle w:val="ListParagraph"/>
        <w:widowControl/>
        <w:numPr>
          <w:ilvl w:val="0"/>
          <w:numId w:val="6"/>
        </w:numPr>
        <w:tabs>
          <w:tab w:val="clear" w:pos="709"/>
          <w:tab w:val="left" w:pos="0" w:leader="none"/>
          <w:tab w:val="left" w:pos="1418" w:leader="none"/>
        </w:tabs>
        <w:ind w:left="0" w:firstLine="709"/>
        <w:jc w:val="both"/>
        <w:rPr>
          <w:sz w:val="24"/>
          <w:szCs w:val="24"/>
        </w:rPr>
      </w:pPr>
      <w:r>
        <w:rPr>
          <w:sz w:val="24"/>
          <w:szCs w:val="24"/>
        </w:rPr>
        <w:t xml:space="preserve">установление в ходе исполнения Договора фактов несоответствия Поставщика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Поставщика </w:t>
        <w:br/>
        <w:t>об обстоятельствах, указанных в разделе 11 Договора, и имеющих существенное значение для его заключения и исполнения.</w:t>
      </w:r>
    </w:p>
    <w:p>
      <w:pPr>
        <w:pStyle w:val="ListParagraph"/>
        <w:widowControl/>
        <w:numPr>
          <w:ilvl w:val="1"/>
          <w:numId w:val="2"/>
        </w:numPr>
        <w:shd w:val="clear" w:color="auto" w:fill="FFFFFF"/>
        <w:tabs>
          <w:tab w:val="clear" w:pos="709"/>
          <w:tab w:val="left" w:pos="0" w:leader="none"/>
          <w:tab w:val="left" w:pos="1418" w:leader="none"/>
        </w:tabs>
        <w:ind w:left="0" w:firstLine="709"/>
        <w:jc w:val="both"/>
        <w:rPr>
          <w:sz w:val="24"/>
          <w:szCs w:val="24"/>
        </w:rPr>
      </w:pPr>
      <w:r>
        <w:rPr>
          <w:sz w:val="24"/>
          <w:szCs w:val="24"/>
        </w:rPr>
        <w:t xml:space="preserve">В случае отказа Покупателя от Договора в случаях, предусмотренных пунктами 12.2, 12.3 Договора, последний считается прекращенным (расторгнутым) со дня, следующего за днем получения Поставщиком уведомления Покупателя об отказе от Договора (исполнения Договора). </w:t>
      </w:r>
    </w:p>
    <w:p>
      <w:pPr>
        <w:pStyle w:val="ListParagraph"/>
        <w:widowControl/>
        <w:numPr>
          <w:ilvl w:val="1"/>
          <w:numId w:val="2"/>
        </w:numPr>
        <w:shd w:val="clear" w:color="auto" w:fill="FFFFFF"/>
        <w:tabs>
          <w:tab w:val="clear" w:pos="709"/>
          <w:tab w:val="left" w:pos="0" w:leader="none"/>
          <w:tab w:val="left" w:pos="1418" w:leader="none"/>
        </w:tabs>
        <w:ind w:left="0" w:firstLine="709"/>
        <w:jc w:val="both"/>
        <w:rPr>
          <w:sz w:val="24"/>
          <w:szCs w:val="24"/>
        </w:rPr>
      </w:pPr>
      <w:r>
        <w:rPr>
          <w:sz w:val="24"/>
          <w:szCs w:val="24"/>
        </w:rPr>
        <w:t>С даты прекращения (расторжения) Договора Поставщик обязан прекратить поставку Товара.</w:t>
      </w:r>
    </w:p>
    <w:p>
      <w:pPr>
        <w:pStyle w:val="ListParagraph"/>
        <w:widowControl/>
        <w:numPr>
          <w:ilvl w:val="1"/>
          <w:numId w:val="2"/>
        </w:numPr>
        <w:shd w:val="clear" w:color="auto" w:fill="FFFFFF"/>
        <w:tabs>
          <w:tab w:val="clear" w:pos="709"/>
          <w:tab w:val="left" w:pos="0" w:leader="none"/>
          <w:tab w:val="left" w:pos="1418" w:leader="none"/>
        </w:tabs>
        <w:ind w:left="0" w:firstLine="709"/>
        <w:jc w:val="both"/>
        <w:rPr>
          <w:sz w:val="24"/>
          <w:szCs w:val="24"/>
        </w:rPr>
      </w:pPr>
      <w:r>
        <w:rPr>
          <w:sz w:val="24"/>
          <w:szCs w:val="24"/>
        </w:rPr>
        <w:t xml:space="preserve">При прекращении (расторжении) Договора по основаниям, указанным </w:t>
        <w:br/>
        <w:t>в настоящем разделе Договора, все обязательства Сторон по Договору считаются прекратившимися, за исключением обязательств по незавершенным расчетам, гарантийных обязательств Поставщика в соответствии с разделом 4 Договора, а также обязательств Поставщика по оплате неустойки, штрафов, возмещению убытков в случаях и размерах, предусмотренных Договором.</w:t>
      </w:r>
    </w:p>
    <w:p>
      <w:pPr>
        <w:pStyle w:val="ListParagraph"/>
        <w:widowControl/>
        <w:shd w:val="clear" w:color="auto" w:fill="FFFFFF"/>
        <w:tabs>
          <w:tab w:val="clear" w:pos="709"/>
          <w:tab w:val="left" w:pos="1134" w:leader="none"/>
        </w:tabs>
        <w:ind w:left="0" w:hanging="0"/>
        <w:jc w:val="both"/>
        <w:rPr>
          <w:sz w:val="24"/>
          <w:szCs w:val="24"/>
        </w:rPr>
      </w:pPr>
      <w:r>
        <w:rPr>
          <w:sz w:val="24"/>
          <w:szCs w:val="24"/>
        </w:rPr>
      </w:r>
    </w:p>
    <w:p>
      <w:pPr>
        <w:pStyle w:val="ListParagraph"/>
        <w:widowControl/>
        <w:numPr>
          <w:ilvl w:val="0"/>
          <w:numId w:val="2"/>
        </w:numPr>
        <w:shd w:val="clear" w:color="auto" w:fill="FFFFFF"/>
        <w:tabs>
          <w:tab w:val="clear" w:pos="709"/>
          <w:tab w:val="left" w:pos="426" w:leader="none"/>
        </w:tabs>
        <w:ind w:left="0" w:hanging="0"/>
        <w:jc w:val="center"/>
        <w:rPr>
          <w:b/>
          <w:bCs/>
          <w:sz w:val="24"/>
          <w:szCs w:val="24"/>
        </w:rPr>
      </w:pPr>
      <w:r>
        <w:rPr>
          <w:b/>
          <w:bCs/>
          <w:sz w:val="24"/>
          <w:szCs w:val="24"/>
        </w:rPr>
        <w:t>Заключительные положения</w:t>
      </w:r>
    </w:p>
    <w:p>
      <w:pPr>
        <w:pStyle w:val="ListParagraph"/>
        <w:widowControl/>
        <w:numPr>
          <w:ilvl w:val="1"/>
          <w:numId w:val="2"/>
        </w:numPr>
        <w:shd w:val="clear" w:color="auto" w:fill="FFFFFF"/>
        <w:tabs>
          <w:tab w:val="clear" w:pos="709"/>
          <w:tab w:val="left" w:pos="0" w:leader="none"/>
          <w:tab w:val="left" w:pos="1418" w:leader="none"/>
        </w:tabs>
        <w:ind w:left="0" w:firstLine="709"/>
        <w:jc w:val="both"/>
        <w:rPr>
          <w:sz w:val="24"/>
          <w:szCs w:val="24"/>
        </w:rPr>
      </w:pPr>
      <w:r>
        <w:rPr>
          <w:sz w:val="24"/>
          <w:szCs w:val="24"/>
        </w:rPr>
        <w:t xml:space="preserve">Договор вступает в силу с даты его подписания Сторонами и действует </w:t>
        <w:br/>
        <w:t xml:space="preserve">до полного исполнения ими принятых на себя обязательств. </w:t>
      </w:r>
    </w:p>
    <w:p>
      <w:pPr>
        <w:pStyle w:val="Normal"/>
        <w:widowControl/>
        <w:numPr>
          <w:ilvl w:val="1"/>
          <w:numId w:val="2"/>
        </w:numPr>
        <w:snapToGrid w:val="false"/>
        <w:ind w:left="0" w:firstLine="709"/>
        <w:jc w:val="both"/>
        <w:rPr/>
      </w:pPr>
      <w:r>
        <w:rPr>
          <w:sz w:val="24"/>
          <w:szCs w:val="24"/>
        </w:rPr>
        <w:t>Договор заключается в электронной форме с</w:t>
      </w:r>
      <w:r>
        <w:rPr>
          <w:i/>
          <w:sz w:val="24"/>
          <w:szCs w:val="24"/>
        </w:rPr>
        <w:t xml:space="preserve"> </w:t>
      </w:r>
      <w:r>
        <w:rPr>
          <w:sz w:val="24"/>
          <w:szCs w:val="24"/>
        </w:rPr>
        <w:t xml:space="preserve">использованием программно-аппаратных средств информационной системы электронного документооборота общего пользования путем его подписания усиленными квалифицированными электронными подписями (далее – УКЭП) уполномоченных представителей Сторон. </w:t>
      </w:r>
    </w:p>
    <w:p>
      <w:pPr>
        <w:pStyle w:val="Normal"/>
        <w:widowControl/>
        <w:shd w:val="clear" w:color="auto" w:fill="FFFFFF"/>
        <w:tabs>
          <w:tab w:val="clear" w:pos="709"/>
          <w:tab w:val="left" w:pos="0" w:leader="none"/>
        </w:tabs>
        <w:ind w:firstLine="709"/>
        <w:jc w:val="both"/>
        <w:rPr/>
      </w:pPr>
      <w:r>
        <w:rPr>
          <w:sz w:val="24"/>
          <w:szCs w:val="24"/>
        </w:rPr>
        <w:t>Договор, подписанный с использованием УКЭП, признается электронным документом, равнозначным документу на бумажном носителе, подписанным собственноручными подписями уполномоченных представителей Сторон.</w:t>
      </w:r>
    </w:p>
    <w:p>
      <w:pPr>
        <w:pStyle w:val="ListParagraph"/>
        <w:widowControl/>
        <w:numPr>
          <w:ilvl w:val="1"/>
          <w:numId w:val="2"/>
        </w:numPr>
        <w:shd w:val="clear" w:color="auto" w:fill="FFFFFF"/>
        <w:tabs>
          <w:tab w:val="clear" w:pos="709"/>
          <w:tab w:val="left" w:pos="0" w:leader="none"/>
          <w:tab w:val="left" w:pos="1418" w:leader="none"/>
        </w:tabs>
        <w:ind w:left="0" w:firstLine="709"/>
        <w:jc w:val="both"/>
        <w:rPr>
          <w:sz w:val="24"/>
          <w:szCs w:val="24"/>
        </w:rPr>
      </w:pPr>
      <w:r>
        <w:rPr>
          <w:sz w:val="24"/>
          <w:szCs w:val="24"/>
        </w:rPr>
        <w:t xml:space="preserve">Все изменения и дополнения к Договору действительны при условии, что они совершены в письменной форме в виде единого документа и подписаны уполномоченными представителями Сторон, за исключением случаев изменения реквизитов Сторон, предусмотренных пунктом 13.7 Договора. </w:t>
      </w:r>
    </w:p>
    <w:p>
      <w:pPr>
        <w:pStyle w:val="ListParagraph"/>
        <w:widowControl/>
        <w:numPr>
          <w:ilvl w:val="1"/>
          <w:numId w:val="2"/>
        </w:numPr>
        <w:shd w:val="clear" w:color="auto" w:fill="FFFFFF"/>
        <w:tabs>
          <w:tab w:val="clear" w:pos="709"/>
          <w:tab w:val="left" w:pos="0" w:leader="none"/>
          <w:tab w:val="left" w:pos="1418" w:leader="none"/>
        </w:tabs>
        <w:ind w:left="0" w:firstLine="709"/>
        <w:jc w:val="both"/>
        <w:rPr>
          <w:sz w:val="24"/>
          <w:szCs w:val="24"/>
        </w:rPr>
      </w:pPr>
      <w:r>
        <w:rPr>
          <w:sz w:val="24"/>
          <w:szCs w:val="24"/>
        </w:rPr>
        <w:t>Все приложения к Договору, а также любые изменения и дополнения, оформленные надлежащим образом, являются неотъемлемой частью Договора.</w:t>
      </w:r>
    </w:p>
    <w:p>
      <w:pPr>
        <w:pStyle w:val="ListParagraph"/>
        <w:widowControl/>
        <w:numPr>
          <w:ilvl w:val="1"/>
          <w:numId w:val="2"/>
        </w:numPr>
        <w:shd w:val="clear" w:color="auto" w:fill="FFFFFF"/>
        <w:tabs>
          <w:tab w:val="clear" w:pos="709"/>
          <w:tab w:val="left" w:pos="0" w:leader="none"/>
          <w:tab w:val="left" w:pos="1418" w:leader="none"/>
        </w:tabs>
        <w:ind w:left="0" w:firstLine="709"/>
        <w:jc w:val="both"/>
        <w:rPr>
          <w:sz w:val="24"/>
          <w:szCs w:val="24"/>
        </w:rPr>
      </w:pPr>
      <w:r>
        <w:rPr>
          <w:sz w:val="24"/>
          <w:szCs w:val="24"/>
        </w:rPr>
        <w:t xml:space="preserve">В случае наличия любых расхождений между содержанием Договора </w:t>
        <w:br/>
        <w:t>и приложений к нему, приоритет имеет текст Договора.</w:t>
      </w:r>
    </w:p>
    <w:p>
      <w:pPr>
        <w:pStyle w:val="ListParagraph"/>
        <w:widowControl/>
        <w:numPr>
          <w:ilvl w:val="1"/>
          <w:numId w:val="2"/>
        </w:numPr>
        <w:shd w:val="clear" w:color="auto" w:fill="FFFFFF"/>
        <w:tabs>
          <w:tab w:val="clear" w:pos="709"/>
          <w:tab w:val="left" w:pos="0" w:leader="none"/>
          <w:tab w:val="left" w:pos="1418" w:leader="none"/>
        </w:tabs>
        <w:ind w:left="0" w:firstLine="709"/>
        <w:jc w:val="both"/>
        <w:rPr>
          <w:sz w:val="24"/>
          <w:szCs w:val="24"/>
        </w:rPr>
      </w:pPr>
      <w:r>
        <w:rPr>
          <w:sz w:val="24"/>
          <w:szCs w:val="24"/>
        </w:rPr>
        <w:t xml:space="preserve">Обмен информацией между Сторонами по любым вопросам, связанным </w:t>
        <w:br/>
        <w:t xml:space="preserve">с исполнением Договора, включая уведомления и иные сообщения, осуществляется только </w:t>
        <w:br/>
        <w:t>в письменной форме в порядке, предусмотренном пунктом 13.8 Договора. Использование средств электронной связи не допускается, за исключением случаев оперативного обмена информацией, которая не влечет возникновения, изменения либо прекращения гражданских прав и обязанностей Стороны.</w:t>
      </w:r>
    </w:p>
    <w:p>
      <w:pPr>
        <w:pStyle w:val="ListParagraph"/>
        <w:widowControl/>
        <w:numPr>
          <w:ilvl w:val="1"/>
          <w:numId w:val="2"/>
        </w:numPr>
        <w:shd w:val="clear" w:color="auto" w:fill="FFFFFF"/>
        <w:tabs>
          <w:tab w:val="clear" w:pos="709"/>
          <w:tab w:val="left" w:pos="0" w:leader="none"/>
          <w:tab w:val="left" w:pos="1418" w:leader="none"/>
        </w:tabs>
        <w:ind w:left="0" w:firstLine="709"/>
        <w:jc w:val="both"/>
        <w:rPr>
          <w:sz w:val="24"/>
          <w:szCs w:val="24"/>
        </w:rPr>
      </w:pPr>
      <w:bookmarkStart w:id="9" w:name="_Ref361338004"/>
      <w:r>
        <w:rPr>
          <w:sz w:val="24"/>
          <w:szCs w:val="24"/>
        </w:rPr>
        <w:t>Стороны обязуются уведомлять друг друга об изменении адреса и / или реквизитов, указанных в разделе 15 Договора, не позднее 3 (трех) рабочих дней после такого изменения в порядке, установленном пунктом 13.8 Договора.</w:t>
      </w:r>
      <w:bookmarkEnd w:id="9"/>
      <w:r>
        <w:rPr>
          <w:sz w:val="24"/>
          <w:szCs w:val="24"/>
        </w:rPr>
        <w:t xml:space="preserve"> </w:t>
      </w:r>
    </w:p>
    <w:p>
      <w:pPr>
        <w:pStyle w:val="ListParagraph"/>
        <w:widowControl/>
        <w:numPr>
          <w:ilvl w:val="1"/>
          <w:numId w:val="2"/>
        </w:numPr>
        <w:shd w:val="clear" w:color="auto" w:fill="FFFFFF"/>
        <w:tabs>
          <w:tab w:val="clear" w:pos="709"/>
          <w:tab w:val="left" w:pos="0" w:leader="none"/>
          <w:tab w:val="left" w:pos="1134" w:leader="none"/>
          <w:tab w:val="left" w:pos="1418" w:leader="none"/>
        </w:tabs>
        <w:ind w:left="0" w:firstLine="709"/>
        <w:jc w:val="both"/>
        <w:rPr>
          <w:bCs/>
          <w:sz w:val="24"/>
          <w:szCs w:val="24"/>
        </w:rPr>
      </w:pPr>
      <w:r>
        <w:rPr>
          <w:sz w:val="24"/>
          <w:szCs w:val="24"/>
        </w:rPr>
        <w:t>Письма, уведомления и / или сообщения направляются Стороне</w:t>
      </w:r>
      <w:r>
        <w:rPr>
          <w:bCs/>
          <w:sz w:val="24"/>
          <w:szCs w:val="24"/>
        </w:rPr>
        <w:t>-</w:t>
      </w:r>
      <w:r>
        <w:rPr>
          <w:sz w:val="24"/>
          <w:szCs w:val="24"/>
        </w:rPr>
        <w:t>получателю по адресу ее места нахождения, указанному в разделе 15 Договора, или в ранее полученном уведомлении Стороны об изменении адреса, одним из следующих способов, при этом документ</w:t>
      </w:r>
      <w:r>
        <w:rPr>
          <w:bCs/>
          <w:sz w:val="24"/>
          <w:szCs w:val="24"/>
        </w:rPr>
        <w:t xml:space="preserve"> будет считаться полученным</w:t>
      </w:r>
      <w:r>
        <w:rPr>
          <w:sz w:val="24"/>
          <w:szCs w:val="24"/>
        </w:rPr>
        <w:t xml:space="preserve">: </w:t>
      </w:r>
    </w:p>
    <w:p>
      <w:pPr>
        <w:pStyle w:val="ListParagraph"/>
        <w:numPr>
          <w:ilvl w:val="2"/>
          <w:numId w:val="2"/>
        </w:numPr>
        <w:ind w:left="0" w:firstLine="709"/>
        <w:jc w:val="both"/>
        <w:rPr>
          <w:sz w:val="24"/>
          <w:szCs w:val="24"/>
        </w:rPr>
      </w:pPr>
      <w:r>
        <w:rPr>
          <w:bCs/>
          <w:sz w:val="24"/>
          <w:szCs w:val="24"/>
        </w:rPr>
        <w:t xml:space="preserve">Заказным почтовым отправлением с уведомлением о вручении – </w:t>
      </w:r>
      <w:r>
        <w:rPr>
          <w:sz w:val="24"/>
          <w:szCs w:val="24"/>
        </w:rPr>
        <w:t>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p>
    <w:p>
      <w:pPr>
        <w:pStyle w:val="ListParagraph"/>
        <w:numPr>
          <w:ilvl w:val="2"/>
          <w:numId w:val="2"/>
        </w:numPr>
        <w:ind w:left="0" w:firstLine="709"/>
        <w:jc w:val="both"/>
        <w:rPr>
          <w:sz w:val="24"/>
          <w:szCs w:val="24"/>
        </w:rPr>
      </w:pPr>
      <w:r>
        <w:rPr>
          <w:bCs/>
          <w:sz w:val="24"/>
          <w:szCs w:val="24"/>
        </w:rPr>
        <w:t>Доставкой лично или курьером Стороны-отправителя – в дату и время фактического приема уведомления Стороной-получателем с отметкой о получении</w:t>
      </w:r>
      <w:r>
        <w:rPr>
          <w:sz w:val="24"/>
          <w:szCs w:val="24"/>
        </w:rPr>
        <w:t xml:space="preserve">; </w:t>
      </w:r>
    </w:p>
    <w:p>
      <w:pPr>
        <w:pStyle w:val="ListParagraph"/>
        <w:numPr>
          <w:ilvl w:val="2"/>
          <w:numId w:val="2"/>
        </w:numPr>
        <w:ind w:left="0" w:firstLine="709"/>
        <w:jc w:val="both"/>
        <w:rPr>
          <w:bCs/>
          <w:sz w:val="24"/>
          <w:szCs w:val="24"/>
        </w:rPr>
      </w:pPr>
      <w:r>
        <w:rPr>
          <w:bCs/>
          <w:sz w:val="24"/>
          <w:szCs w:val="24"/>
        </w:rPr>
        <w:t>Посредством электронной почты (</w:t>
      </w:r>
      <w:r>
        <w:rPr>
          <w:bCs/>
          <w:sz w:val="24"/>
          <w:szCs w:val="24"/>
          <w:lang w:val="en-US"/>
        </w:rPr>
        <w:t>e</w:t>
      </w:r>
      <w:r>
        <w:rPr>
          <w:bCs/>
          <w:sz w:val="24"/>
          <w:szCs w:val="24"/>
        </w:rPr>
        <w:t>-</w:t>
      </w:r>
      <w:r>
        <w:rPr>
          <w:bCs/>
          <w:sz w:val="24"/>
          <w:szCs w:val="24"/>
          <w:lang w:val="en-US"/>
        </w:rPr>
        <w:t>mail</w:t>
      </w:r>
      <w:r>
        <w:rPr>
          <w:bCs/>
          <w:sz w:val="24"/>
          <w:szCs w:val="24"/>
        </w:rPr>
        <w:t>) – в дату направления электронного сообщения, зафиксированную на почтовом сервере отправителя.</w:t>
      </w:r>
    </w:p>
    <w:p>
      <w:pPr>
        <w:pStyle w:val="ListParagraph"/>
        <w:shd w:val="clear" w:color="auto" w:fill="FFFFFF"/>
        <w:tabs>
          <w:tab w:val="clear" w:pos="709"/>
          <w:tab w:val="left" w:pos="0" w:leader="none"/>
          <w:tab w:val="left" w:pos="1418" w:leader="none"/>
          <w:tab w:val="left" w:pos="1701" w:leader="none"/>
        </w:tabs>
        <w:ind w:left="0" w:firstLine="709"/>
        <w:jc w:val="both"/>
        <w:rPr>
          <w:bCs/>
          <w:sz w:val="24"/>
          <w:szCs w:val="24"/>
        </w:rPr>
      </w:pPr>
      <w:r>
        <w:rPr>
          <w:bCs/>
          <w:sz w:val="24"/>
          <w:szCs w:val="24"/>
        </w:rPr>
        <w:t xml:space="preserve">Оригиналы документов, направленные посредством электронной почты, должны не позднее следующего рабочего дня быть направлены Стороной-отправителем способами, указанными в пунктах 13.8.1 – 13.8.2 Договора. </w:t>
      </w:r>
    </w:p>
    <w:p>
      <w:pPr>
        <w:pStyle w:val="Normal"/>
        <w:widowControl/>
        <w:numPr>
          <w:ilvl w:val="1"/>
          <w:numId w:val="2"/>
        </w:numPr>
        <w:tabs>
          <w:tab w:val="clear" w:pos="709"/>
          <w:tab w:val="left" w:pos="0" w:leader="none"/>
          <w:tab w:val="left" w:pos="1418" w:leader="none"/>
        </w:tabs>
        <w:ind w:left="0" w:firstLine="709"/>
        <w:jc w:val="both"/>
        <w:rPr>
          <w:bCs/>
          <w:sz w:val="24"/>
          <w:szCs w:val="24"/>
        </w:rPr>
      </w:pPr>
      <w:r>
        <w:rPr>
          <w:bCs/>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Стороне законодательством Российской Федерации или Договором, не означает отказ от такого права и не влечет прекращения возможности реализовать это право в будущем. </w:t>
      </w:r>
    </w:p>
    <w:p>
      <w:pPr>
        <w:pStyle w:val="Normal"/>
        <w:widowControl/>
        <w:numPr>
          <w:ilvl w:val="1"/>
          <w:numId w:val="2"/>
        </w:numPr>
        <w:tabs>
          <w:tab w:val="clear" w:pos="709"/>
          <w:tab w:val="left" w:pos="0" w:leader="none"/>
          <w:tab w:val="left" w:pos="1418" w:leader="none"/>
        </w:tabs>
        <w:ind w:left="0" w:firstLine="709"/>
        <w:jc w:val="both"/>
        <w:rPr>
          <w:bCs/>
          <w:sz w:val="24"/>
          <w:szCs w:val="24"/>
        </w:rPr>
      </w:pPr>
      <w:r>
        <w:rPr>
          <w:bCs/>
          <w:sz w:val="24"/>
          <w:szCs w:val="24"/>
        </w:rPr>
        <w:t>Уступка (передача), в том числе в залог, прав (требований) к Покупателю по денежным обязательствам, возникшим из Договора, и принадлежащих Поставщику, осуществляется только при условии предварительного письменного согласия Покупателя и оформляется трёхсторонним договором.</w:t>
      </w:r>
    </w:p>
    <w:p>
      <w:pPr>
        <w:pStyle w:val="Normal"/>
        <w:ind w:firstLine="709"/>
        <w:jc w:val="both"/>
        <w:rPr>
          <w:sz w:val="24"/>
          <w:szCs w:val="24"/>
        </w:rPr>
      </w:pPr>
      <w:r>
        <w:rPr>
          <w:bCs/>
          <w:sz w:val="24"/>
          <w:szCs w:val="24"/>
        </w:rPr>
        <w:t>Уступка (передача) прав (требований) в пользу финансово-кредитных учреждений (факторинг) осуществляется при условии предварительного письменного уведомления Покупателя</w:t>
      </w:r>
      <w:r>
        <w:rPr>
          <w:sz w:val="24"/>
          <w:szCs w:val="24"/>
        </w:rPr>
        <w:t xml:space="preserve">.  </w:t>
      </w:r>
    </w:p>
    <w:p>
      <w:pPr>
        <w:pStyle w:val="ListParagraph"/>
        <w:numPr>
          <w:ilvl w:val="1"/>
          <w:numId w:val="2"/>
        </w:numPr>
        <w:ind w:left="0" w:firstLine="709"/>
        <w:jc w:val="both"/>
        <w:rPr>
          <w:sz w:val="24"/>
          <w:szCs w:val="24"/>
        </w:rPr>
      </w:pPr>
      <w:r>
        <w:rPr>
          <w:sz w:val="24"/>
          <w:szCs w:val="24"/>
        </w:rPr>
        <w:t xml:space="preserve">Во всем остальном, что не урегулировано Договором, Стороны руководствуются законодательством Российской Федерации. </w:t>
      </w:r>
    </w:p>
    <w:p>
      <w:pPr>
        <w:pStyle w:val="Normal"/>
        <w:shd w:val="clear" w:color="auto" w:fill="FFFFFF"/>
        <w:ind w:firstLine="567"/>
        <w:jc w:val="both"/>
        <w:rPr>
          <w:sz w:val="24"/>
          <w:szCs w:val="24"/>
        </w:rPr>
      </w:pPr>
      <w:r>
        <w:rPr>
          <w:sz w:val="24"/>
          <w:szCs w:val="24"/>
        </w:rPr>
      </w:r>
    </w:p>
    <w:p>
      <w:pPr>
        <w:pStyle w:val="Normal"/>
        <w:widowControl/>
        <w:numPr>
          <w:ilvl w:val="0"/>
          <w:numId w:val="2"/>
        </w:numPr>
        <w:shd w:val="clear" w:color="auto" w:fill="FFFFFF"/>
        <w:tabs>
          <w:tab w:val="clear" w:pos="709"/>
          <w:tab w:val="left" w:pos="284" w:leader="none"/>
        </w:tabs>
        <w:spacing w:before="0" w:after="0"/>
        <w:ind w:left="0" w:hanging="360"/>
        <w:contextualSpacing/>
        <w:jc w:val="center"/>
        <w:rPr>
          <w:b/>
          <w:bCs/>
          <w:sz w:val="24"/>
          <w:szCs w:val="24"/>
        </w:rPr>
      </w:pPr>
      <w:r>
        <w:rPr>
          <w:b/>
          <w:bCs/>
          <w:sz w:val="24"/>
          <w:szCs w:val="24"/>
        </w:rPr>
        <w:t xml:space="preserve">Список приложений </w:t>
      </w:r>
    </w:p>
    <w:p>
      <w:pPr>
        <w:pStyle w:val="Normal"/>
        <w:widowControl/>
        <w:shd w:val="clear" w:color="auto" w:fill="FFFFFF"/>
        <w:tabs>
          <w:tab w:val="clear" w:pos="709"/>
          <w:tab w:val="left" w:pos="0" w:leader="none"/>
        </w:tabs>
        <w:ind w:firstLine="709"/>
        <w:jc w:val="both"/>
        <w:rPr>
          <w:rFonts w:eastAsia="Calibri"/>
          <w:sz w:val="24"/>
          <w:szCs w:val="24"/>
          <w:lang w:eastAsia="en-US"/>
        </w:rPr>
      </w:pPr>
      <w:bookmarkStart w:id="10" w:name="sub_1"/>
      <w:r>
        <w:rPr>
          <w:rFonts w:eastAsia="Calibri"/>
          <w:sz w:val="24"/>
          <w:szCs w:val="24"/>
          <w:lang w:eastAsia="en-US"/>
        </w:rPr>
        <w:t>Приложение № 1 – Спецификация.</w:t>
      </w:r>
    </w:p>
    <w:p>
      <w:pPr>
        <w:pStyle w:val="Normal"/>
        <w:widowControl/>
        <w:shd w:val="clear" w:color="auto" w:fill="FFFFFF"/>
        <w:tabs>
          <w:tab w:val="clear" w:pos="709"/>
          <w:tab w:val="left" w:pos="0" w:leader="none"/>
          <w:tab w:val="left" w:pos="2694" w:leader="none"/>
        </w:tabs>
        <w:ind w:firstLine="709"/>
        <w:jc w:val="both"/>
        <w:rPr>
          <w:rFonts w:eastAsia="Calibri"/>
          <w:sz w:val="24"/>
          <w:szCs w:val="24"/>
          <w:lang w:eastAsia="en-US"/>
        </w:rPr>
      </w:pPr>
      <w:r>
        <w:rPr>
          <w:rFonts w:eastAsia="Calibri"/>
          <w:sz w:val="24"/>
          <w:szCs w:val="24"/>
          <w:lang w:eastAsia="en-US"/>
        </w:rPr>
        <w:t xml:space="preserve">Приложение № 2 – </w:t>
      </w:r>
      <w:r>
        <w:rPr>
          <w:sz w:val="24"/>
          <w:szCs w:val="24"/>
          <w:lang w:eastAsia="x-none"/>
        </w:rPr>
        <w:t>Технические требования.</w:t>
      </w:r>
      <w:bookmarkEnd w:id="10"/>
    </w:p>
    <w:p>
      <w:pPr>
        <w:pStyle w:val="Normal"/>
        <w:ind w:firstLine="709"/>
        <w:jc w:val="both"/>
        <w:rPr>
          <w:bCs/>
          <w:sz w:val="24"/>
          <w:szCs w:val="24"/>
        </w:rPr>
      </w:pPr>
      <w:r>
        <w:rPr>
          <w:bCs/>
          <w:sz w:val="24"/>
          <w:szCs w:val="24"/>
        </w:rPr>
        <w:t xml:space="preserve">Приложение № 3 </w:t>
      </w:r>
      <w:r>
        <w:rPr>
          <w:rFonts w:eastAsia="Calibri"/>
          <w:sz w:val="24"/>
          <w:szCs w:val="24"/>
          <w:lang w:eastAsia="en-US"/>
        </w:rPr>
        <w:t>–</w:t>
      </w:r>
      <w:r>
        <w:rPr>
          <w:bCs/>
          <w:sz w:val="24"/>
          <w:szCs w:val="24"/>
        </w:rPr>
        <w:t xml:space="preserve"> Размер ответственности Поставщика за нарушения пропускного и внутриобъектового режима, требований охраны труда, пожарной и промышленной безопасности.</w:t>
      </w:r>
    </w:p>
    <w:p>
      <w:pPr>
        <w:pStyle w:val="Normal"/>
        <w:ind w:firstLine="709"/>
        <w:jc w:val="both"/>
        <w:rPr>
          <w:sz w:val="24"/>
          <w:szCs w:val="24"/>
        </w:rPr>
      </w:pPr>
      <w:r>
        <w:rPr>
          <w:sz w:val="24"/>
          <w:szCs w:val="24"/>
        </w:rPr>
      </w:r>
    </w:p>
    <w:p>
      <w:pPr>
        <w:pStyle w:val="ListParagraph"/>
        <w:widowControl/>
        <w:numPr>
          <w:ilvl w:val="0"/>
          <w:numId w:val="2"/>
        </w:numPr>
        <w:shd w:val="clear" w:color="auto" w:fill="FFFFFF"/>
        <w:tabs>
          <w:tab w:val="clear" w:pos="709"/>
          <w:tab w:val="left" w:pos="426" w:leader="none"/>
        </w:tabs>
        <w:ind w:left="0" w:hanging="0"/>
        <w:jc w:val="center"/>
        <w:rPr>
          <w:b/>
          <w:bCs/>
          <w:sz w:val="24"/>
          <w:szCs w:val="24"/>
        </w:rPr>
      </w:pPr>
      <w:r>
        <w:rPr>
          <w:b/>
          <w:bCs/>
          <w:sz w:val="24"/>
          <w:szCs w:val="24"/>
        </w:rPr>
        <w:t>Адреса и платежные реквизиты Сторон</w:t>
      </w:r>
    </w:p>
    <w:p>
      <w:pPr>
        <w:pStyle w:val="ListParagraph"/>
        <w:widowControl/>
        <w:shd w:val="clear" w:color="auto" w:fill="FFFFFF"/>
        <w:tabs>
          <w:tab w:val="clear" w:pos="709"/>
          <w:tab w:val="left" w:pos="426" w:leader="none"/>
        </w:tabs>
        <w:ind w:left="0" w:hanging="0"/>
        <w:rPr>
          <w:b/>
          <w:bCs/>
          <w:sz w:val="24"/>
          <w:szCs w:val="24"/>
        </w:rPr>
      </w:pPr>
      <w:r>
        <w:rPr>
          <w:b/>
          <w:bCs/>
          <w:sz w:val="24"/>
          <w:szCs w:val="24"/>
        </w:rPr>
      </w:r>
    </w:p>
    <w:tbl>
      <w:tblPr>
        <w:tblW w:w="9890" w:type="dxa"/>
        <w:jc w:val="left"/>
        <w:tblInd w:w="108" w:type="dxa"/>
        <w:tblLayout w:type="fixed"/>
        <w:tblCellMar>
          <w:top w:w="0" w:type="dxa"/>
          <w:left w:w="108" w:type="dxa"/>
          <w:bottom w:w="0" w:type="dxa"/>
          <w:right w:w="108" w:type="dxa"/>
        </w:tblCellMar>
        <w:tblLook w:noVBand="0" w:val="01e0" w:noHBand="0" w:lastColumn="1" w:firstColumn="1" w:lastRow="1" w:firstRow="1"/>
      </w:tblPr>
      <w:tblGrid>
        <w:gridCol w:w="4765"/>
        <w:gridCol w:w="163"/>
        <w:gridCol w:w="4621"/>
        <w:gridCol w:w="341"/>
      </w:tblGrid>
      <w:tr>
        <w:trPr/>
        <w:tc>
          <w:tcPr>
            <w:tcW w:w="4928" w:type="dxa"/>
            <w:gridSpan w:val="2"/>
            <w:tcBorders/>
          </w:tcPr>
          <w:p>
            <w:pPr>
              <w:pStyle w:val="Normal"/>
              <w:widowControl w:val="false"/>
              <w:rPr>
                <w:sz w:val="24"/>
                <w:szCs w:val="24"/>
              </w:rPr>
            </w:pPr>
            <w:r>
              <w:rPr>
                <w:sz w:val="24"/>
                <w:szCs w:val="24"/>
              </w:rPr>
              <w:t>ПОКУПАТЕЛЬ:</w:t>
            </w:r>
          </w:p>
        </w:tc>
        <w:tc>
          <w:tcPr>
            <w:tcW w:w="4962" w:type="dxa"/>
            <w:gridSpan w:val="2"/>
            <w:tcBorders/>
          </w:tcPr>
          <w:p>
            <w:pPr>
              <w:pStyle w:val="Normal"/>
              <w:widowControl w:val="false"/>
              <w:rPr>
                <w:sz w:val="24"/>
                <w:szCs w:val="24"/>
              </w:rPr>
            </w:pPr>
            <w:r>
              <w:rPr>
                <w:sz w:val="24"/>
                <w:szCs w:val="24"/>
              </w:rPr>
              <w:t>ПОСТАВЩИК:</w:t>
            </w:r>
          </w:p>
        </w:tc>
      </w:tr>
      <w:tr>
        <w:trPr/>
        <w:tc>
          <w:tcPr>
            <w:tcW w:w="4928" w:type="dxa"/>
            <w:gridSpan w:val="2"/>
            <w:tcBorders/>
            <w:shd w:color="auto" w:fill="BFBFBF" w:val="clear"/>
          </w:tcPr>
          <w:p>
            <w:pPr>
              <w:pStyle w:val="Normal"/>
              <w:widowControl w:val="false"/>
              <w:rPr>
                <w:sz w:val="24"/>
                <w:szCs w:val="24"/>
              </w:rPr>
            </w:pPr>
            <w:r>
              <w:rPr>
                <w:sz w:val="24"/>
                <w:szCs w:val="24"/>
              </w:rPr>
            </w:r>
          </w:p>
          <w:p>
            <w:pPr>
              <w:pStyle w:val="Normal"/>
              <w:widowControl w:val="false"/>
              <w:rPr>
                <w:b/>
                <w:sz w:val="24"/>
                <w:szCs w:val="24"/>
              </w:rPr>
            </w:pPr>
            <w:r>
              <w:rPr>
                <w:b/>
                <w:sz w:val="24"/>
                <w:szCs w:val="24"/>
              </w:rPr>
              <w:t>Публичное акционерное общество</w:t>
            </w:r>
          </w:p>
          <w:p>
            <w:pPr>
              <w:pStyle w:val="Normal"/>
              <w:widowControl w:val="false"/>
              <w:rPr>
                <w:b/>
                <w:sz w:val="24"/>
                <w:szCs w:val="24"/>
              </w:rPr>
            </w:pPr>
            <w:r>
              <w:rPr>
                <w:b/>
                <w:sz w:val="24"/>
                <w:szCs w:val="24"/>
              </w:rPr>
              <w:t>«Федеральная гидрогенерирующая компания - РусГидро» (ПАО «РусГидро»)</w:t>
            </w:r>
          </w:p>
          <w:p>
            <w:pPr>
              <w:pStyle w:val="Normal"/>
              <w:widowControl w:val="false"/>
              <w:rPr>
                <w:sz w:val="24"/>
                <w:szCs w:val="24"/>
              </w:rPr>
            </w:pPr>
            <w:r>
              <w:rPr>
                <w:sz w:val="24"/>
                <w:szCs w:val="24"/>
              </w:rPr>
            </w:r>
          </w:p>
          <w:p>
            <w:pPr>
              <w:pStyle w:val="Normal"/>
              <w:widowControl w:val="false"/>
              <w:rPr>
                <w:sz w:val="24"/>
                <w:szCs w:val="24"/>
              </w:rPr>
            </w:pPr>
            <w:r>
              <w:rPr>
                <w:sz w:val="24"/>
                <w:szCs w:val="24"/>
              </w:rPr>
              <w:t>Публичное акционерное общество</w:t>
            </w:r>
          </w:p>
          <w:p>
            <w:pPr>
              <w:pStyle w:val="Normal"/>
              <w:widowControl w:val="false"/>
              <w:rPr>
                <w:sz w:val="24"/>
                <w:szCs w:val="24"/>
              </w:rPr>
            </w:pPr>
            <w:r>
              <w:rPr>
                <w:sz w:val="24"/>
                <w:szCs w:val="24"/>
              </w:rPr>
              <w:t>«Федеральная гидрогенерирующая компания - РусГидро» (ПАО «РусГидро»)</w:t>
            </w:r>
          </w:p>
          <w:p>
            <w:pPr>
              <w:pStyle w:val="Normal"/>
              <w:widowControl w:val="false"/>
              <w:rPr>
                <w:sz w:val="24"/>
                <w:szCs w:val="24"/>
              </w:rPr>
            </w:pPr>
            <w:r>
              <w:rPr>
                <w:sz w:val="24"/>
                <w:szCs w:val="24"/>
              </w:rPr>
            </w:r>
          </w:p>
          <w:p>
            <w:pPr>
              <w:pStyle w:val="Normal"/>
              <w:widowControl w:val="false"/>
              <w:rPr>
                <w:sz w:val="24"/>
                <w:szCs w:val="24"/>
              </w:rPr>
            </w:pPr>
            <w:r>
              <w:rPr>
                <w:sz w:val="24"/>
                <w:szCs w:val="24"/>
              </w:rPr>
              <w:t>Местонахождение: 660049, Красноярский край, г.о.  Красноярск, г. Красноярск, ул. Перенсона, зд. 2а, помещ. 1</w:t>
            </w:r>
          </w:p>
          <w:p>
            <w:pPr>
              <w:pStyle w:val="Normal"/>
              <w:widowControl w:val="false"/>
              <w:rPr>
                <w:sz w:val="24"/>
                <w:szCs w:val="24"/>
              </w:rPr>
            </w:pPr>
            <w:r>
              <w:rPr>
                <w:sz w:val="24"/>
                <w:szCs w:val="24"/>
              </w:rPr>
              <w:t>Наименование филиала:</w:t>
            </w:r>
          </w:p>
          <w:p>
            <w:pPr>
              <w:pStyle w:val="Normal"/>
              <w:widowControl w:val="false"/>
              <w:rPr>
                <w:sz w:val="24"/>
                <w:szCs w:val="24"/>
              </w:rPr>
            </w:pPr>
            <w:r>
              <w:rPr>
                <w:sz w:val="24"/>
                <w:szCs w:val="24"/>
              </w:rPr>
              <w:t>Филиал ПАО «РусГидро» - «Камская ГЭС»</w:t>
            </w:r>
          </w:p>
          <w:p>
            <w:pPr>
              <w:pStyle w:val="Normal"/>
              <w:widowControl w:val="false"/>
              <w:rPr>
                <w:sz w:val="24"/>
                <w:szCs w:val="24"/>
              </w:rPr>
            </w:pPr>
            <w:r>
              <w:rPr>
                <w:sz w:val="24"/>
                <w:szCs w:val="24"/>
              </w:rPr>
              <w:t>Местонахождение филиала:</w:t>
            </w:r>
          </w:p>
          <w:p>
            <w:pPr>
              <w:pStyle w:val="Normal"/>
              <w:widowControl w:val="false"/>
              <w:rPr>
                <w:sz w:val="24"/>
                <w:szCs w:val="24"/>
              </w:rPr>
            </w:pPr>
            <w:r>
              <w:rPr>
                <w:sz w:val="24"/>
                <w:szCs w:val="24"/>
              </w:rPr>
              <w:t>г. Пермь, ул. Соликамская, д.329</w:t>
            </w:r>
          </w:p>
          <w:p>
            <w:pPr>
              <w:pStyle w:val="Normal"/>
              <w:widowControl w:val="false"/>
              <w:rPr>
                <w:sz w:val="24"/>
                <w:szCs w:val="24"/>
              </w:rPr>
            </w:pPr>
            <w:r>
              <w:rPr>
                <w:sz w:val="24"/>
                <w:szCs w:val="24"/>
              </w:rPr>
              <w:t>Почтовый адрес филиала:</w:t>
            </w:r>
          </w:p>
          <w:p>
            <w:pPr>
              <w:pStyle w:val="Normal"/>
              <w:widowControl w:val="false"/>
              <w:rPr>
                <w:sz w:val="24"/>
                <w:szCs w:val="24"/>
              </w:rPr>
            </w:pPr>
            <w:r>
              <w:rPr>
                <w:sz w:val="24"/>
                <w:szCs w:val="24"/>
              </w:rPr>
              <w:t>614030, г. Пермь, Камская ГЭС</w:t>
            </w:r>
          </w:p>
          <w:p>
            <w:pPr>
              <w:pStyle w:val="Normal"/>
              <w:widowControl w:val="false"/>
              <w:rPr>
                <w:sz w:val="24"/>
                <w:szCs w:val="24"/>
              </w:rPr>
            </w:pPr>
            <w:r>
              <w:rPr>
                <w:sz w:val="24"/>
                <w:szCs w:val="24"/>
              </w:rPr>
              <w:t>ИНН 2460066195/КПП 590702001</w:t>
            </w:r>
          </w:p>
          <w:p>
            <w:pPr>
              <w:pStyle w:val="Normal"/>
              <w:widowControl w:val="false"/>
              <w:rPr>
                <w:sz w:val="24"/>
                <w:szCs w:val="24"/>
              </w:rPr>
            </w:pPr>
            <w:r>
              <w:rPr>
                <w:sz w:val="24"/>
                <w:szCs w:val="24"/>
              </w:rPr>
              <w:t>Расчетный счет 40702810800000060254</w:t>
            </w:r>
          </w:p>
          <w:p>
            <w:pPr>
              <w:pStyle w:val="Normal"/>
              <w:widowControl w:val="false"/>
              <w:rPr>
                <w:sz w:val="24"/>
                <w:szCs w:val="24"/>
              </w:rPr>
            </w:pPr>
            <w:r>
              <w:rPr>
                <w:sz w:val="24"/>
                <w:szCs w:val="24"/>
              </w:rPr>
              <w:t>Банка ГПБ (АО), г. Москва (ИНН 7744001497,</w:t>
            </w:r>
          </w:p>
          <w:p>
            <w:pPr>
              <w:pStyle w:val="Normal"/>
              <w:widowControl w:val="false"/>
              <w:rPr>
                <w:sz w:val="24"/>
                <w:szCs w:val="24"/>
              </w:rPr>
            </w:pPr>
            <w:r>
              <w:rPr>
                <w:sz w:val="24"/>
                <w:szCs w:val="24"/>
              </w:rPr>
              <w:t>КПП 997950001)</w:t>
            </w:r>
          </w:p>
          <w:p>
            <w:pPr>
              <w:pStyle w:val="Normal"/>
              <w:widowControl w:val="false"/>
              <w:rPr>
                <w:sz w:val="24"/>
                <w:szCs w:val="24"/>
              </w:rPr>
            </w:pPr>
            <w:r>
              <w:rPr>
                <w:sz w:val="24"/>
                <w:szCs w:val="24"/>
              </w:rPr>
              <w:t>К/с 30101810200000000823 в ГУ Банка России по ЦФО</w:t>
            </w:r>
          </w:p>
          <w:p>
            <w:pPr>
              <w:pStyle w:val="Normal"/>
              <w:widowControl w:val="false"/>
              <w:rPr>
                <w:sz w:val="24"/>
                <w:szCs w:val="24"/>
              </w:rPr>
            </w:pPr>
            <w:r>
              <w:rPr>
                <w:sz w:val="24"/>
                <w:szCs w:val="24"/>
              </w:rPr>
              <w:t>БИК 044 525 823</w:t>
            </w:r>
          </w:p>
          <w:p>
            <w:pPr>
              <w:pStyle w:val="Normal"/>
              <w:widowControl w:val="false"/>
              <w:rPr>
                <w:sz w:val="24"/>
                <w:szCs w:val="24"/>
              </w:rPr>
            </w:pPr>
            <w:r>
              <w:rPr>
                <w:sz w:val="24"/>
                <w:szCs w:val="24"/>
              </w:rPr>
              <w:t>ОКПО 83271699</w:t>
            </w:r>
          </w:p>
          <w:p>
            <w:pPr>
              <w:pStyle w:val="Normal"/>
              <w:widowControl w:val="false"/>
              <w:rPr>
                <w:sz w:val="24"/>
                <w:szCs w:val="24"/>
              </w:rPr>
            </w:pPr>
            <w:r>
              <w:rPr>
                <w:sz w:val="24"/>
                <w:szCs w:val="24"/>
              </w:rPr>
              <w:t>ОГРН 1042401810494</w:t>
            </w:r>
          </w:p>
          <w:p>
            <w:pPr>
              <w:pStyle w:val="Normal"/>
              <w:widowControl w:val="false"/>
              <w:rPr>
                <w:sz w:val="24"/>
                <w:szCs w:val="24"/>
              </w:rPr>
            </w:pPr>
            <w:r>
              <w:rPr>
                <w:sz w:val="24"/>
                <w:szCs w:val="24"/>
              </w:rPr>
              <w:t>Тел.: + 7 (342) 274-54-54</w:t>
            </w:r>
          </w:p>
          <w:p>
            <w:pPr>
              <w:pStyle w:val="Normal"/>
              <w:widowControl w:val="false"/>
              <w:rPr>
                <w:sz w:val="24"/>
                <w:szCs w:val="24"/>
              </w:rPr>
            </w:pPr>
            <w:r>
              <w:rPr>
                <w:sz w:val="24"/>
                <w:szCs w:val="24"/>
              </w:rPr>
            </w:r>
          </w:p>
          <w:p>
            <w:pPr>
              <w:pStyle w:val="Normal"/>
              <w:widowControl w:val="false"/>
              <w:rPr>
                <w:sz w:val="24"/>
                <w:szCs w:val="24"/>
              </w:rPr>
            </w:pPr>
            <w:r>
              <w:rPr>
                <w:sz w:val="24"/>
                <w:szCs w:val="24"/>
              </w:rPr>
            </w:r>
          </w:p>
        </w:tc>
        <w:tc>
          <w:tcPr>
            <w:tcW w:w="4962" w:type="dxa"/>
            <w:gridSpan w:val="2"/>
            <w:tcBorders/>
            <w:shd w:color="auto" w:fill="BFBFBF" w:val="clear"/>
          </w:tcPr>
          <w:p>
            <w:pPr>
              <w:pStyle w:val="Normal"/>
              <w:widowControl w:val="false"/>
              <w:rPr>
                <w:sz w:val="24"/>
                <w:szCs w:val="24"/>
              </w:rPr>
            </w:pPr>
            <w:r>
              <w:rPr>
                <w:sz w:val="24"/>
                <w:szCs w:val="24"/>
              </w:rPr>
            </w:r>
          </w:p>
          <w:p>
            <w:pPr>
              <w:pStyle w:val="Normal"/>
              <w:widowControl w:val="false"/>
              <w:rPr>
                <w:sz w:val="24"/>
                <w:szCs w:val="24"/>
              </w:rPr>
            </w:pPr>
            <w:r>
              <w:rPr>
                <w:sz w:val="24"/>
                <w:szCs w:val="24"/>
              </w:rPr>
            </w:r>
          </w:p>
          <w:p>
            <w:pPr>
              <w:pStyle w:val="Normal"/>
              <w:widowControl w:val="false"/>
              <w:rPr>
                <w:sz w:val="24"/>
                <w:szCs w:val="24"/>
              </w:rPr>
            </w:pPr>
            <w:r>
              <w:rPr>
                <w:sz w:val="24"/>
                <w:szCs w:val="24"/>
              </w:rPr>
              <w:t>_________________________________</w:t>
            </w:r>
          </w:p>
          <w:p>
            <w:pPr>
              <w:pStyle w:val="Normal"/>
              <w:widowControl w:val="false"/>
              <w:rPr>
                <w:sz w:val="24"/>
                <w:szCs w:val="24"/>
              </w:rPr>
            </w:pPr>
            <w:r>
              <w:rPr>
                <w:sz w:val="24"/>
                <w:szCs w:val="24"/>
              </w:rPr>
              <w:t>(наименование юридического лица)</w:t>
            </w:r>
          </w:p>
          <w:p>
            <w:pPr>
              <w:pStyle w:val="Normal"/>
              <w:widowControl w:val="false"/>
              <w:rPr>
                <w:sz w:val="24"/>
                <w:szCs w:val="24"/>
              </w:rPr>
            </w:pPr>
            <w:r>
              <w:rPr>
                <w:sz w:val="24"/>
                <w:szCs w:val="24"/>
              </w:rPr>
            </w:r>
          </w:p>
          <w:p>
            <w:pPr>
              <w:pStyle w:val="Normal"/>
              <w:widowControl w:val="false"/>
              <w:rPr>
                <w:sz w:val="24"/>
                <w:szCs w:val="24"/>
              </w:rPr>
            </w:pPr>
            <w:r>
              <w:rPr>
                <w:sz w:val="24"/>
                <w:szCs w:val="24"/>
              </w:rPr>
              <w:t>Место нахождения:</w:t>
            </w:r>
          </w:p>
          <w:p>
            <w:pPr>
              <w:pStyle w:val="Normal"/>
              <w:widowControl w:val="false"/>
              <w:rPr>
                <w:sz w:val="24"/>
                <w:szCs w:val="24"/>
              </w:rPr>
            </w:pPr>
            <w:r>
              <w:rPr>
                <w:sz w:val="24"/>
                <w:szCs w:val="24"/>
              </w:rPr>
              <w:t>_________________________________</w:t>
            </w:r>
          </w:p>
          <w:p>
            <w:pPr>
              <w:pStyle w:val="Normal"/>
              <w:widowControl w:val="false"/>
              <w:rPr>
                <w:sz w:val="24"/>
                <w:szCs w:val="24"/>
              </w:rPr>
            </w:pPr>
            <w:r>
              <w:rPr>
                <w:sz w:val="24"/>
                <w:szCs w:val="24"/>
              </w:rPr>
            </w:r>
          </w:p>
          <w:p>
            <w:pPr>
              <w:pStyle w:val="Normal"/>
              <w:widowControl w:val="false"/>
              <w:rPr>
                <w:sz w:val="24"/>
                <w:szCs w:val="24"/>
              </w:rPr>
            </w:pPr>
            <w:r>
              <w:rPr>
                <w:sz w:val="24"/>
                <w:szCs w:val="24"/>
              </w:rPr>
            </w:r>
          </w:p>
          <w:p>
            <w:pPr>
              <w:pStyle w:val="Normal"/>
              <w:widowControl w:val="false"/>
              <w:rPr>
                <w:sz w:val="24"/>
                <w:szCs w:val="24"/>
              </w:rPr>
            </w:pPr>
            <w:r>
              <w:rPr>
                <w:sz w:val="24"/>
                <w:szCs w:val="24"/>
              </w:rPr>
            </w:r>
          </w:p>
          <w:p>
            <w:pPr>
              <w:pStyle w:val="Normal"/>
              <w:widowControl w:val="false"/>
              <w:rPr>
                <w:sz w:val="24"/>
                <w:szCs w:val="24"/>
              </w:rPr>
            </w:pPr>
            <w:r>
              <w:rPr>
                <w:sz w:val="24"/>
                <w:szCs w:val="24"/>
              </w:rPr>
              <w:t>Почтовый адрес:</w:t>
            </w:r>
          </w:p>
          <w:p>
            <w:pPr>
              <w:pStyle w:val="Normal"/>
              <w:widowControl w:val="false"/>
              <w:rPr>
                <w:sz w:val="24"/>
                <w:szCs w:val="24"/>
              </w:rPr>
            </w:pPr>
            <w:r>
              <w:rPr>
                <w:sz w:val="24"/>
                <w:szCs w:val="24"/>
              </w:rPr>
              <w:t>_________________________________</w:t>
            </w:r>
          </w:p>
          <w:p>
            <w:pPr>
              <w:pStyle w:val="Normal"/>
              <w:widowControl w:val="false"/>
              <w:rPr>
                <w:sz w:val="24"/>
                <w:szCs w:val="24"/>
              </w:rPr>
            </w:pPr>
            <w:r>
              <w:rPr>
                <w:sz w:val="24"/>
                <w:szCs w:val="24"/>
              </w:rPr>
              <w:t>ОГРН ___________________________</w:t>
            </w:r>
          </w:p>
          <w:p>
            <w:pPr>
              <w:pStyle w:val="Normal"/>
              <w:widowControl w:val="false"/>
              <w:rPr>
                <w:sz w:val="24"/>
                <w:szCs w:val="24"/>
              </w:rPr>
            </w:pPr>
            <w:r>
              <w:rPr>
                <w:sz w:val="24"/>
                <w:szCs w:val="24"/>
              </w:rPr>
              <w:t>ИНН ____________ / КПП___________</w:t>
            </w:r>
          </w:p>
          <w:p>
            <w:pPr>
              <w:pStyle w:val="Normal"/>
              <w:widowControl w:val="false"/>
              <w:rPr>
                <w:sz w:val="24"/>
                <w:szCs w:val="24"/>
              </w:rPr>
            </w:pPr>
            <w:r>
              <w:rPr>
                <w:sz w:val="24"/>
                <w:szCs w:val="24"/>
              </w:rPr>
              <w:t>_________________________________</w:t>
            </w:r>
          </w:p>
          <w:p>
            <w:pPr>
              <w:pStyle w:val="Normal"/>
              <w:widowControl w:val="false"/>
              <w:rPr>
                <w:sz w:val="24"/>
                <w:szCs w:val="24"/>
              </w:rPr>
            </w:pPr>
            <w:r>
              <w:rPr>
                <w:sz w:val="24"/>
                <w:szCs w:val="24"/>
              </w:rPr>
              <w:t>(номер расчетного счета)</w:t>
            </w:r>
          </w:p>
          <w:p>
            <w:pPr>
              <w:pStyle w:val="Normal"/>
              <w:widowControl w:val="false"/>
              <w:rPr>
                <w:sz w:val="24"/>
                <w:szCs w:val="24"/>
              </w:rPr>
            </w:pPr>
            <w:r>
              <w:rPr>
                <w:sz w:val="24"/>
                <w:szCs w:val="24"/>
              </w:rPr>
              <w:t>_________________________________</w:t>
            </w:r>
          </w:p>
          <w:p>
            <w:pPr>
              <w:pStyle w:val="Normal"/>
              <w:widowControl w:val="false"/>
              <w:rPr>
                <w:sz w:val="24"/>
                <w:szCs w:val="24"/>
              </w:rPr>
            </w:pPr>
            <w:r>
              <w:rPr>
                <w:sz w:val="24"/>
                <w:szCs w:val="24"/>
              </w:rPr>
              <w:t>(наименование банка, в котором</w:t>
            </w:r>
          </w:p>
          <w:p>
            <w:pPr>
              <w:pStyle w:val="Normal"/>
              <w:widowControl w:val="false"/>
              <w:rPr>
                <w:sz w:val="24"/>
                <w:szCs w:val="24"/>
              </w:rPr>
            </w:pPr>
            <w:r>
              <w:rPr>
                <w:sz w:val="24"/>
                <w:szCs w:val="24"/>
              </w:rPr>
              <w:t>открыт расчетный счет)</w:t>
            </w:r>
          </w:p>
          <w:p>
            <w:pPr>
              <w:pStyle w:val="Normal"/>
              <w:widowControl w:val="false"/>
              <w:rPr>
                <w:sz w:val="24"/>
                <w:szCs w:val="24"/>
              </w:rPr>
            </w:pPr>
            <w:r>
              <w:rPr>
                <w:sz w:val="24"/>
                <w:szCs w:val="24"/>
              </w:rPr>
              <w:t>_________________________________</w:t>
            </w:r>
          </w:p>
          <w:p>
            <w:pPr>
              <w:pStyle w:val="Normal"/>
              <w:widowControl w:val="false"/>
              <w:rPr>
                <w:sz w:val="24"/>
                <w:szCs w:val="24"/>
              </w:rPr>
            </w:pPr>
            <w:r>
              <w:rPr>
                <w:sz w:val="24"/>
                <w:szCs w:val="24"/>
              </w:rPr>
              <w:t>(номер корреспондентского счета банка)</w:t>
            </w:r>
          </w:p>
          <w:p>
            <w:pPr>
              <w:pStyle w:val="Normal"/>
              <w:widowControl w:val="false"/>
              <w:rPr>
                <w:sz w:val="24"/>
                <w:szCs w:val="24"/>
              </w:rPr>
            </w:pPr>
            <w:r>
              <w:rPr>
                <w:sz w:val="24"/>
                <w:szCs w:val="24"/>
              </w:rPr>
              <w:t>_________________________________</w:t>
            </w:r>
          </w:p>
          <w:p>
            <w:pPr>
              <w:pStyle w:val="Normal"/>
              <w:widowControl w:val="false"/>
              <w:rPr>
                <w:sz w:val="24"/>
                <w:szCs w:val="24"/>
              </w:rPr>
            </w:pPr>
            <w:r>
              <w:rPr>
                <w:sz w:val="24"/>
                <w:szCs w:val="24"/>
              </w:rPr>
              <w:t>(БИК банка)</w:t>
            </w:r>
          </w:p>
          <w:p>
            <w:pPr>
              <w:pStyle w:val="Normal"/>
              <w:widowControl w:val="false"/>
              <w:rPr>
                <w:sz w:val="24"/>
                <w:szCs w:val="24"/>
              </w:rPr>
            </w:pPr>
            <w:r>
              <w:rPr>
                <w:sz w:val="24"/>
                <w:szCs w:val="24"/>
              </w:rPr>
              <w:t>_________________________________</w:t>
            </w:r>
          </w:p>
          <w:p>
            <w:pPr>
              <w:pStyle w:val="Normal"/>
              <w:widowControl w:val="false"/>
              <w:rPr>
                <w:sz w:val="24"/>
                <w:szCs w:val="24"/>
              </w:rPr>
            </w:pPr>
            <w:r>
              <w:rPr>
                <w:sz w:val="24"/>
                <w:szCs w:val="24"/>
              </w:rPr>
              <w:t>(номер телефона)</w:t>
            </w:r>
          </w:p>
          <w:p>
            <w:pPr>
              <w:pStyle w:val="Normal"/>
              <w:widowControl w:val="false"/>
              <w:rPr>
                <w:sz w:val="24"/>
                <w:szCs w:val="24"/>
              </w:rPr>
            </w:pPr>
            <w:r>
              <w:rPr>
                <w:sz w:val="24"/>
                <w:szCs w:val="24"/>
              </w:rPr>
              <w:t>_________________________________</w:t>
            </w:r>
          </w:p>
          <w:p>
            <w:pPr>
              <w:pStyle w:val="Normal"/>
              <w:widowControl w:val="false"/>
              <w:rPr>
                <w:sz w:val="24"/>
                <w:szCs w:val="24"/>
              </w:rPr>
            </w:pPr>
            <w:r>
              <w:rPr>
                <w:sz w:val="24"/>
                <w:szCs w:val="24"/>
              </w:rPr>
              <w:t>(номер факса)</w:t>
            </w:r>
          </w:p>
          <w:p>
            <w:pPr>
              <w:pStyle w:val="Normal"/>
              <w:widowControl w:val="false"/>
              <w:rPr>
                <w:sz w:val="24"/>
                <w:szCs w:val="24"/>
              </w:rPr>
            </w:pPr>
            <w:r>
              <w:rPr>
                <w:sz w:val="24"/>
                <w:szCs w:val="24"/>
              </w:rPr>
            </w:r>
          </w:p>
        </w:tc>
      </w:tr>
      <w:tr>
        <w:trPr/>
        <w:tc>
          <w:tcPr>
            <w:tcW w:w="4765" w:type="dxa"/>
            <w:tcBorders/>
          </w:tcPr>
          <w:p>
            <w:pPr>
              <w:pStyle w:val="Normal"/>
              <w:widowControl w:val="false"/>
              <w:rPr>
                <w:sz w:val="24"/>
                <w:szCs w:val="24"/>
              </w:rPr>
            </w:pPr>
            <w:r>
              <w:rPr>
                <w:sz w:val="24"/>
                <w:szCs w:val="24"/>
              </w:rPr>
              <w:t>_______________ / _______________</w:t>
            </w:r>
          </w:p>
          <w:p>
            <w:pPr>
              <w:pStyle w:val="Normal"/>
              <w:widowControl w:val="false"/>
              <w:rPr>
                <w:sz w:val="24"/>
                <w:szCs w:val="24"/>
              </w:rPr>
            </w:pPr>
            <w:r>
              <w:rPr>
                <w:sz w:val="24"/>
                <w:szCs w:val="24"/>
              </w:rPr>
            </w:r>
          </w:p>
        </w:tc>
        <w:tc>
          <w:tcPr>
            <w:tcW w:w="4784" w:type="dxa"/>
            <w:gridSpan w:val="2"/>
            <w:tcBorders/>
          </w:tcPr>
          <w:p>
            <w:pPr>
              <w:pStyle w:val="Normal"/>
              <w:widowControl w:val="false"/>
              <w:rPr>
                <w:sz w:val="24"/>
                <w:szCs w:val="24"/>
              </w:rPr>
            </w:pPr>
            <w:r>
              <w:rPr>
                <w:sz w:val="24"/>
                <w:szCs w:val="24"/>
              </w:rPr>
              <w:t>_______________ / _______________</w:t>
            </w:r>
          </w:p>
        </w:tc>
        <w:tc>
          <w:tcPr>
            <w:tcW w:w="341" w:type="dxa"/>
            <w:tcBorders/>
          </w:tcPr>
          <w:p>
            <w:pPr>
              <w:pStyle w:val="Normal"/>
              <w:widowControl w:val="false"/>
              <w:rPr/>
            </w:pPr>
            <w:r>
              <w:rPr/>
            </w:r>
          </w:p>
        </w:tc>
      </w:tr>
    </w:tbl>
    <w:p>
      <w:pPr>
        <w:sectPr>
          <w:headerReference w:type="default" r:id="rId7"/>
          <w:headerReference w:type="first" r:id="rId8"/>
          <w:footerReference w:type="default" r:id="rId9"/>
          <w:type w:val="nextPage"/>
          <w:pgSz w:w="11906" w:h="16838"/>
          <w:pgMar w:left="1418" w:right="851" w:gutter="0" w:header="709" w:top="1134" w:footer="709" w:bottom="2268"/>
          <w:pgNumType w:fmt="decimal"/>
          <w:formProt w:val="false"/>
          <w:titlePg/>
          <w:textDirection w:val="lrTb"/>
          <w:docGrid w:type="default" w:linePitch="360" w:charSpace="0"/>
        </w:sectPr>
      </w:pPr>
    </w:p>
    <w:p>
      <w:pPr>
        <w:pStyle w:val="Normal"/>
        <w:suppressAutoHyphens w:val="true"/>
        <w:ind w:left="5103" w:hanging="0"/>
        <w:rPr>
          <w:sz w:val="22"/>
          <w:szCs w:val="22"/>
        </w:rPr>
      </w:pPr>
      <w:r>
        <w:rPr>
          <w:sz w:val="22"/>
          <w:szCs w:val="22"/>
        </w:rPr>
        <w:t>Приложение № 1</w:t>
      </w:r>
    </w:p>
    <w:p>
      <w:pPr>
        <w:pStyle w:val="Normal"/>
        <w:suppressAutoHyphens w:val="true"/>
        <w:ind w:left="5103" w:hanging="0"/>
        <w:rPr>
          <w:sz w:val="22"/>
          <w:szCs w:val="22"/>
        </w:rPr>
      </w:pPr>
      <w:r>
        <w:rPr>
          <w:sz w:val="22"/>
          <w:szCs w:val="22"/>
        </w:rPr>
        <w:t>к Договору поставки</w:t>
      </w:r>
    </w:p>
    <w:p>
      <w:pPr>
        <w:pStyle w:val="Normal"/>
        <w:suppressAutoHyphens w:val="true"/>
        <w:ind w:left="5103" w:hanging="0"/>
        <w:rPr>
          <w:sz w:val="22"/>
          <w:szCs w:val="22"/>
        </w:rPr>
      </w:pPr>
      <w:r>
        <w:rPr>
          <w:sz w:val="22"/>
          <w:szCs w:val="22"/>
        </w:rPr>
        <w:t xml:space="preserve">от «____» ________ 20 _ г. № </w:t>
      </w:r>
    </w:p>
    <w:p>
      <w:pPr>
        <w:pStyle w:val="Normal"/>
        <w:widowControl/>
        <w:suppressAutoHyphens w:val="true"/>
        <w:jc w:val="right"/>
        <w:rPr>
          <w:rFonts w:eastAsia="Calibri"/>
          <w:b/>
          <w:sz w:val="24"/>
          <w:szCs w:val="24"/>
          <w:lang w:eastAsia="en-US"/>
        </w:rPr>
      </w:pPr>
      <w:r>
        <w:rPr>
          <w:rFonts w:eastAsia="Calibri"/>
          <w:b/>
          <w:sz w:val="24"/>
          <w:szCs w:val="24"/>
          <w:lang w:eastAsia="en-US"/>
        </w:rPr>
      </w:r>
    </w:p>
    <w:p>
      <w:pPr>
        <w:pStyle w:val="Normal"/>
        <w:jc w:val="center"/>
        <w:rPr>
          <w:b/>
          <w:sz w:val="24"/>
          <w:szCs w:val="24"/>
        </w:rPr>
      </w:pPr>
      <w:r>
        <w:rPr>
          <w:b/>
          <w:sz w:val="24"/>
          <w:szCs w:val="24"/>
        </w:rPr>
      </w:r>
    </w:p>
    <w:p>
      <w:pPr>
        <w:pStyle w:val="Normal"/>
        <w:jc w:val="center"/>
        <w:rPr>
          <w:b/>
          <w:sz w:val="24"/>
          <w:szCs w:val="24"/>
        </w:rPr>
      </w:pPr>
      <w:r>
        <w:rPr>
          <w:b/>
          <w:sz w:val="24"/>
          <w:szCs w:val="24"/>
        </w:rPr>
        <w:t xml:space="preserve">СПЕЦИФИКАЦИЯ </w:t>
      </w:r>
    </w:p>
    <w:p>
      <w:pPr>
        <w:pStyle w:val="Normal"/>
        <w:jc w:val="center"/>
        <w:rPr>
          <w:b/>
          <w:sz w:val="24"/>
          <w:szCs w:val="24"/>
        </w:rPr>
      </w:pPr>
      <w:r>
        <w:rPr>
          <w:b/>
          <w:sz w:val="24"/>
          <w:szCs w:val="24"/>
        </w:rPr>
      </w:r>
    </w:p>
    <w:tbl>
      <w:tblPr>
        <w:tblW w:w="5000" w:type="pct"/>
        <w:jc w:val="left"/>
        <w:tblInd w:w="-601" w:type="dxa"/>
        <w:tblLayout w:type="fixed"/>
        <w:tblCellMar>
          <w:top w:w="0" w:type="dxa"/>
          <w:left w:w="108" w:type="dxa"/>
          <w:bottom w:w="0" w:type="dxa"/>
          <w:right w:w="108" w:type="dxa"/>
        </w:tblCellMar>
        <w:tblLook w:noVBand="1" w:val="04a0" w:noHBand="0" w:lastColumn="0" w:firstColumn="1" w:lastRow="0" w:firstRow="1"/>
      </w:tblPr>
      <w:tblGrid>
        <w:gridCol w:w="451"/>
        <w:gridCol w:w="394"/>
        <w:gridCol w:w="602"/>
        <w:gridCol w:w="611"/>
        <w:gridCol w:w="612"/>
        <w:gridCol w:w="778"/>
        <w:gridCol w:w="723"/>
        <w:gridCol w:w="631"/>
        <w:gridCol w:w="736"/>
        <w:gridCol w:w="692"/>
        <w:gridCol w:w="519"/>
        <w:gridCol w:w="649"/>
        <w:gridCol w:w="555"/>
        <w:gridCol w:w="517"/>
        <w:gridCol w:w="717"/>
        <w:gridCol w:w="447"/>
      </w:tblGrid>
      <w:tr>
        <w:trPr>
          <w:trHeight w:val="526" w:hRule="atLeast"/>
        </w:trPr>
        <w:tc>
          <w:tcPr>
            <w:tcW w:w="45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bCs/>
              </w:rPr>
            </w:pPr>
            <w:r>
              <w:rPr>
                <w:bCs/>
              </w:rPr>
              <w:t>№</w:t>
            </w:r>
          </w:p>
        </w:tc>
        <w:tc>
          <w:tcPr>
            <w:tcW w:w="39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bCs/>
              </w:rPr>
            </w:pPr>
            <w:r>
              <w:rPr>
                <w:bCs/>
              </w:rPr>
              <w:t xml:space="preserve">№ </w:t>
            </w:r>
            <w:r>
              <w:rPr>
                <w:bCs/>
              </w:rPr>
              <w:t>поз.</w:t>
            </w:r>
          </w:p>
        </w:tc>
        <w:tc>
          <w:tcPr>
            <w:tcW w:w="60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bCs/>
              </w:rPr>
            </w:pPr>
            <w:r>
              <w:rPr>
                <w:bCs/>
              </w:rPr>
              <w:t>Наименование Товара</w:t>
            </w:r>
          </w:p>
        </w:tc>
        <w:tc>
          <w:tcPr>
            <w:tcW w:w="611"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bCs/>
              </w:rPr>
            </w:pPr>
            <w:r>
              <w:rPr>
                <w:bCs/>
              </w:rPr>
            </w:r>
          </w:p>
          <w:p>
            <w:pPr>
              <w:pStyle w:val="Normal"/>
              <w:widowControl w:val="false"/>
              <w:jc w:val="center"/>
              <w:rPr>
                <w:bCs/>
              </w:rPr>
            </w:pPr>
            <w:r>
              <w:rPr>
                <w:bCs/>
              </w:rPr>
            </w:r>
          </w:p>
          <w:p>
            <w:pPr>
              <w:pStyle w:val="Normal"/>
              <w:widowControl w:val="false"/>
              <w:jc w:val="center"/>
              <w:rPr>
                <w:bCs/>
              </w:rPr>
            </w:pPr>
            <w:r>
              <w:rPr>
                <w:bCs/>
              </w:rPr>
            </w:r>
          </w:p>
          <w:p>
            <w:pPr>
              <w:pStyle w:val="Normal"/>
              <w:widowControl w:val="false"/>
              <w:jc w:val="center"/>
              <w:rPr>
                <w:bCs/>
              </w:rPr>
            </w:pPr>
            <w:r>
              <w:rPr>
                <w:bCs/>
              </w:rPr>
            </w:r>
          </w:p>
          <w:p>
            <w:pPr>
              <w:pStyle w:val="Normal"/>
              <w:widowControl w:val="false"/>
              <w:jc w:val="center"/>
              <w:rPr>
                <w:bCs/>
              </w:rPr>
            </w:pPr>
            <w:r>
              <w:rPr>
                <w:bCs/>
              </w:rPr>
              <w:t>Артикул, тип, марка</w:t>
            </w:r>
          </w:p>
        </w:tc>
        <w:tc>
          <w:tcPr>
            <w:tcW w:w="61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bCs/>
              </w:rPr>
            </w:pPr>
            <w:r>
              <w:rPr>
                <w:bCs/>
              </w:rPr>
              <w:t>Завод изготовитель</w:t>
            </w:r>
          </w:p>
        </w:tc>
        <w:tc>
          <w:tcPr>
            <w:tcW w:w="778"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bCs/>
              </w:rPr>
            </w:pPr>
            <w:r>
              <w:rPr>
                <w:bCs/>
              </w:rPr>
            </w:r>
          </w:p>
          <w:p>
            <w:pPr>
              <w:pStyle w:val="Normal"/>
              <w:widowControl w:val="false"/>
              <w:jc w:val="center"/>
              <w:rPr>
                <w:bCs/>
              </w:rPr>
            </w:pPr>
            <w:r>
              <w:rPr>
                <w:bCs/>
              </w:rPr>
            </w:r>
          </w:p>
          <w:p>
            <w:pPr>
              <w:pStyle w:val="Normal"/>
              <w:widowControl w:val="false"/>
              <w:jc w:val="center"/>
              <w:rPr>
                <w:bCs/>
              </w:rPr>
            </w:pPr>
            <w:r>
              <w:rPr>
                <w:bCs/>
              </w:rPr>
            </w:r>
          </w:p>
          <w:p>
            <w:pPr>
              <w:pStyle w:val="Normal"/>
              <w:widowControl w:val="false"/>
              <w:jc w:val="center"/>
              <w:rPr>
                <w:bCs/>
              </w:rPr>
            </w:pPr>
            <w:r>
              <w:rPr>
                <w:bCs/>
              </w:rPr>
            </w:r>
          </w:p>
          <w:p>
            <w:pPr>
              <w:pStyle w:val="Normal"/>
              <w:widowControl w:val="false"/>
              <w:jc w:val="center"/>
              <w:rPr>
                <w:bCs/>
              </w:rPr>
            </w:pPr>
            <w:r>
              <w:rPr>
                <w:bCs/>
              </w:rPr>
              <w:t>Страна происхождения Товара</w:t>
            </w:r>
            <w:r>
              <w:rPr>
                <w:rStyle w:val="FootnoteReference"/>
                <w:bCs/>
              </w:rPr>
              <w:footnoteReference w:id="2"/>
            </w:r>
          </w:p>
        </w:tc>
        <w:tc>
          <w:tcPr>
            <w:tcW w:w="72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bCs/>
              </w:rPr>
            </w:pPr>
            <w:r>
              <w:rPr/>
              <w:t>Страна регистрации производителя Товара</w:t>
            </w:r>
          </w:p>
        </w:tc>
        <w:tc>
          <w:tcPr>
            <w:tcW w:w="63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bCs/>
              </w:rPr>
            </w:pPr>
            <w:r>
              <w:rPr>
                <w:bCs/>
              </w:rPr>
              <w:t>Код ОКПД 2 (с наименованием)</w:t>
            </w:r>
          </w:p>
        </w:tc>
        <w:tc>
          <w:tcPr>
            <w:tcW w:w="73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bCs/>
              </w:rPr>
            </w:pPr>
            <w:r>
              <w:rPr>
                <w:bCs/>
              </w:rPr>
              <w:t>Единица измерения</w:t>
            </w:r>
          </w:p>
        </w:tc>
        <w:tc>
          <w:tcPr>
            <w:tcW w:w="692"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bCs/>
              </w:rPr>
            </w:pPr>
            <w:r>
              <w:rPr>
                <w:bCs/>
              </w:rPr>
            </w:r>
          </w:p>
          <w:p>
            <w:pPr>
              <w:pStyle w:val="Normal"/>
              <w:widowControl w:val="false"/>
              <w:jc w:val="center"/>
              <w:rPr>
                <w:bCs/>
              </w:rPr>
            </w:pPr>
            <w:r>
              <w:rPr>
                <w:bCs/>
              </w:rPr>
            </w:r>
          </w:p>
          <w:p>
            <w:pPr>
              <w:pStyle w:val="Normal"/>
              <w:widowControl w:val="false"/>
              <w:jc w:val="center"/>
              <w:rPr>
                <w:bCs/>
              </w:rPr>
            </w:pPr>
            <w:r>
              <w:rPr>
                <w:bCs/>
              </w:rPr>
            </w:r>
          </w:p>
          <w:p>
            <w:pPr>
              <w:pStyle w:val="Normal"/>
              <w:widowControl w:val="false"/>
              <w:jc w:val="center"/>
              <w:rPr>
                <w:b/>
                <w:bCs/>
              </w:rPr>
            </w:pPr>
            <w:r>
              <w:rPr>
                <w:b/>
                <w:bCs/>
              </w:rPr>
            </w:r>
          </w:p>
          <w:p>
            <w:pPr>
              <w:pStyle w:val="Normal"/>
              <w:widowControl w:val="false"/>
              <w:jc w:val="center"/>
              <w:rPr>
                <w:bCs/>
              </w:rPr>
            </w:pPr>
            <w:r>
              <w:rPr>
                <w:bCs/>
                <w:highlight w:val="lightGray"/>
              </w:rPr>
              <w:t>Порядковый номер(а) реестровой(ых) записи(ей)</w:t>
            </w:r>
            <w:r>
              <w:rPr>
                <w:rStyle w:val="FootnoteReference"/>
                <w:bCs/>
                <w:highlight w:val="lightGray"/>
              </w:rPr>
              <w:footnoteReference w:id="3"/>
            </w:r>
          </w:p>
          <w:p>
            <w:pPr>
              <w:pStyle w:val="Normal"/>
              <w:widowControl w:val="false"/>
              <w:jc w:val="center"/>
              <w:rPr>
                <w:bCs/>
              </w:rPr>
            </w:pPr>
            <w:r>
              <w:rPr>
                <w:bCs/>
              </w:rPr>
            </w:r>
          </w:p>
        </w:tc>
        <w:tc>
          <w:tcPr>
            <w:tcW w:w="519"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bCs/>
              </w:rPr>
            </w:pPr>
            <w:r>
              <w:rPr>
                <w:bCs/>
              </w:rPr>
              <w:t>Количество</w:t>
            </w:r>
          </w:p>
        </w:tc>
        <w:tc>
          <w:tcPr>
            <w:tcW w:w="649"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bCs/>
              </w:rPr>
            </w:pPr>
            <w:r>
              <w:rPr>
                <w:bCs/>
              </w:rPr>
              <w:t>Цена за единицу, руб. без НДС</w:t>
            </w:r>
          </w:p>
        </w:tc>
        <w:tc>
          <w:tcPr>
            <w:tcW w:w="55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bCs/>
              </w:rPr>
            </w:pPr>
            <w:r>
              <w:rPr>
                <w:bCs/>
              </w:rPr>
              <w:t>Цена, руб. без НДС</w:t>
            </w:r>
          </w:p>
        </w:tc>
        <w:tc>
          <w:tcPr>
            <w:tcW w:w="51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bCs/>
              </w:rPr>
            </w:pPr>
            <w:r>
              <w:rPr>
                <w:bCs/>
              </w:rPr>
              <w:t>НДС</w:t>
            </w:r>
          </w:p>
          <w:p>
            <w:pPr>
              <w:pStyle w:val="Normal"/>
              <w:widowControl w:val="false"/>
              <w:jc w:val="center"/>
              <w:rPr>
                <w:bCs/>
              </w:rPr>
            </w:pPr>
            <w:r>
              <w:rPr>
                <w:bCs/>
              </w:rPr>
              <w:t>(___%) руб.</w:t>
            </w:r>
          </w:p>
        </w:tc>
        <w:tc>
          <w:tcPr>
            <w:tcW w:w="71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bCs/>
              </w:rPr>
            </w:pPr>
            <w:r>
              <w:rPr>
                <w:bCs/>
              </w:rPr>
              <w:t>Стоимость, руб., с НДС</w:t>
            </w:r>
          </w:p>
        </w:tc>
        <w:tc>
          <w:tcPr>
            <w:tcW w:w="44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bCs/>
              </w:rPr>
            </w:pPr>
            <w:r>
              <w:rPr>
                <w:bCs/>
              </w:rPr>
              <w:t>Перечень сопроводительных документов (в том числе подтверждающих качество Товара)</w:t>
            </w:r>
          </w:p>
        </w:tc>
      </w:tr>
      <w:tr>
        <w:trPr>
          <w:trHeight w:val="538" w:hRule="atLeast"/>
        </w:trPr>
        <w:tc>
          <w:tcPr>
            <w:tcW w:w="451" w:type="dxa"/>
            <w:vMerge w:val="restart"/>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bCs/>
                <w:highlight w:val="lightGray"/>
              </w:rPr>
            </w:pPr>
            <w:r>
              <w:rPr>
                <w:bCs/>
                <w:highlight w:val="lightGray"/>
              </w:rPr>
              <w:t>1</w:t>
            </w:r>
          </w:p>
        </w:tc>
        <w:tc>
          <w:tcPr>
            <w:tcW w:w="39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rPr>
                <w:highlight w:val="lightGray"/>
              </w:rPr>
            </w:pPr>
            <w:r>
              <w:rPr>
                <w:highlight w:val="lightGray"/>
              </w:rPr>
              <w:t>1</w:t>
            </w:r>
          </w:p>
        </w:tc>
        <w:tc>
          <w:tcPr>
            <w:tcW w:w="60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rPr>
                <w:highlight w:val="yellow"/>
              </w:rPr>
            </w:pPr>
            <w:r>
              <w:rPr>
                <w:highlight w:val="yellow"/>
              </w:rPr>
            </w:r>
          </w:p>
        </w:tc>
        <w:tc>
          <w:tcPr>
            <w:tcW w:w="611" w:type="dxa"/>
            <w:tcBorders>
              <w:top w:val="single" w:sz="4" w:space="0" w:color="000000"/>
              <w:left w:val="single" w:sz="4" w:space="0" w:color="000000"/>
              <w:bottom w:val="single" w:sz="4" w:space="0" w:color="000000"/>
              <w:right w:val="single" w:sz="4" w:space="0" w:color="000000"/>
            </w:tcBorders>
          </w:tcPr>
          <w:p>
            <w:pPr>
              <w:pStyle w:val="Normal"/>
              <w:widowControl w:val="false"/>
              <w:rPr>
                <w:highlight w:val="yellow"/>
              </w:rPr>
            </w:pPr>
            <w:r>
              <w:rPr>
                <w:highlight w:val="yellow"/>
              </w:rPr>
            </w:r>
          </w:p>
        </w:tc>
        <w:tc>
          <w:tcPr>
            <w:tcW w:w="612" w:type="dxa"/>
            <w:tcBorders>
              <w:top w:val="single" w:sz="4" w:space="0" w:color="000000"/>
              <w:left w:val="single" w:sz="4" w:space="0" w:color="000000"/>
              <w:bottom w:val="single" w:sz="4" w:space="0" w:color="000000"/>
              <w:right w:val="single" w:sz="4" w:space="0" w:color="000000"/>
            </w:tcBorders>
          </w:tcPr>
          <w:p>
            <w:pPr>
              <w:pStyle w:val="Normal"/>
              <w:widowControl w:val="false"/>
              <w:rPr>
                <w:highlight w:val="yellow"/>
              </w:rPr>
            </w:pPr>
            <w:r>
              <w:rPr>
                <w:highlight w:val="yellow"/>
              </w:rPr>
            </w:r>
          </w:p>
        </w:tc>
        <w:tc>
          <w:tcPr>
            <w:tcW w:w="778" w:type="dxa"/>
            <w:tcBorders>
              <w:top w:val="single" w:sz="4" w:space="0" w:color="000000"/>
              <w:left w:val="single" w:sz="4" w:space="0" w:color="000000"/>
              <w:bottom w:val="single" w:sz="4" w:space="0" w:color="000000"/>
              <w:right w:val="single" w:sz="4" w:space="0" w:color="000000"/>
            </w:tcBorders>
          </w:tcPr>
          <w:p>
            <w:pPr>
              <w:pStyle w:val="Normal"/>
              <w:widowControl w:val="false"/>
              <w:rPr>
                <w:highlight w:val="yellow"/>
              </w:rPr>
            </w:pPr>
            <w:r>
              <w:rPr>
                <w:highlight w:val="yellow"/>
              </w:rPr>
            </w:r>
          </w:p>
        </w:tc>
        <w:tc>
          <w:tcPr>
            <w:tcW w:w="723" w:type="dxa"/>
            <w:tcBorders>
              <w:top w:val="single" w:sz="4" w:space="0" w:color="000000"/>
              <w:left w:val="single" w:sz="4" w:space="0" w:color="000000"/>
              <w:bottom w:val="single" w:sz="4" w:space="0" w:color="000000"/>
              <w:right w:val="single" w:sz="4" w:space="0" w:color="000000"/>
            </w:tcBorders>
          </w:tcPr>
          <w:p>
            <w:pPr>
              <w:pStyle w:val="Normal"/>
              <w:widowControl w:val="false"/>
              <w:rPr>
                <w:highlight w:val="yellow"/>
              </w:rPr>
            </w:pPr>
            <w:r>
              <w:rPr>
                <w:highlight w:val="yellow"/>
              </w:rPr>
            </w:r>
          </w:p>
        </w:tc>
        <w:tc>
          <w:tcPr>
            <w:tcW w:w="631" w:type="dxa"/>
            <w:tcBorders>
              <w:top w:val="single" w:sz="4" w:space="0" w:color="000000"/>
              <w:left w:val="single" w:sz="4" w:space="0" w:color="000000"/>
              <w:bottom w:val="single" w:sz="4" w:space="0" w:color="000000"/>
              <w:right w:val="single" w:sz="4" w:space="0" w:color="000000"/>
            </w:tcBorders>
          </w:tcPr>
          <w:p>
            <w:pPr>
              <w:pStyle w:val="Normal"/>
              <w:widowControl w:val="false"/>
              <w:rPr>
                <w:highlight w:val="yellow"/>
              </w:rPr>
            </w:pPr>
            <w:r>
              <w:rPr>
                <w:highlight w:val="yellow"/>
              </w:rPr>
            </w:r>
          </w:p>
        </w:tc>
        <w:tc>
          <w:tcPr>
            <w:tcW w:w="736" w:type="dxa"/>
            <w:tcBorders>
              <w:top w:val="single" w:sz="4" w:space="0" w:color="000000"/>
              <w:left w:val="single" w:sz="4" w:space="0" w:color="000000"/>
              <w:bottom w:val="single" w:sz="4" w:space="0" w:color="000000"/>
              <w:right w:val="single" w:sz="4" w:space="0" w:color="000000"/>
            </w:tcBorders>
          </w:tcPr>
          <w:p>
            <w:pPr>
              <w:pStyle w:val="Normal"/>
              <w:widowControl w:val="false"/>
              <w:rPr>
                <w:highlight w:val="yellow"/>
              </w:rPr>
            </w:pPr>
            <w:r>
              <w:rPr>
                <w:highlight w:val="yellow"/>
              </w:rPr>
            </w:r>
          </w:p>
        </w:tc>
        <w:tc>
          <w:tcPr>
            <w:tcW w:w="692" w:type="dxa"/>
            <w:tcBorders>
              <w:top w:val="single" w:sz="4" w:space="0" w:color="000000"/>
              <w:left w:val="single" w:sz="4" w:space="0" w:color="000000"/>
              <w:bottom w:val="single" w:sz="4" w:space="0" w:color="000000"/>
              <w:right w:val="single" w:sz="4" w:space="0" w:color="000000"/>
            </w:tcBorders>
          </w:tcPr>
          <w:p>
            <w:pPr>
              <w:pStyle w:val="Normal"/>
              <w:widowControl w:val="false"/>
              <w:rPr>
                <w:highlight w:val="yellow"/>
              </w:rPr>
            </w:pPr>
            <w:r>
              <w:rPr>
                <w:highlight w:val="yellow"/>
              </w:rPr>
            </w:r>
          </w:p>
        </w:tc>
        <w:tc>
          <w:tcPr>
            <w:tcW w:w="519"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rPr>
                <w:highlight w:val="yellow"/>
              </w:rPr>
            </w:pPr>
            <w:r>
              <w:rPr>
                <w:highlight w:val="yellow"/>
              </w:rPr>
            </w:r>
          </w:p>
        </w:tc>
        <w:tc>
          <w:tcPr>
            <w:tcW w:w="649"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rPr>
                <w:highlight w:val="yellow"/>
              </w:rPr>
            </w:pPr>
            <w:r>
              <w:rPr>
                <w:highlight w:val="yellow"/>
              </w:rPr>
            </w:r>
          </w:p>
        </w:tc>
        <w:tc>
          <w:tcPr>
            <w:tcW w:w="55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rPr>
                <w:highlight w:val="yellow"/>
              </w:rPr>
            </w:pPr>
            <w:r>
              <w:rPr>
                <w:highlight w:val="yellow"/>
              </w:rPr>
            </w:r>
          </w:p>
        </w:tc>
        <w:tc>
          <w:tcPr>
            <w:tcW w:w="51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highlight w:val="yellow"/>
              </w:rPr>
            </w:pPr>
            <w:r>
              <w:rPr>
                <w:highlight w:val="yellow"/>
              </w:rPr>
            </w:r>
          </w:p>
        </w:tc>
        <w:tc>
          <w:tcPr>
            <w:tcW w:w="71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rPr>
                <w:highlight w:val="yellow"/>
              </w:rPr>
            </w:pPr>
            <w:r>
              <w:rPr>
                <w:highlight w:val="yellow"/>
              </w:rPr>
            </w:r>
          </w:p>
        </w:tc>
        <w:tc>
          <w:tcPr>
            <w:tcW w:w="44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highlight w:val="yellow"/>
              </w:rPr>
            </w:pPr>
            <w:r>
              <w:rPr>
                <w:highlight w:val="yellow"/>
              </w:rPr>
            </w:r>
          </w:p>
        </w:tc>
      </w:tr>
      <w:tr>
        <w:trPr>
          <w:trHeight w:val="538" w:hRule="atLeast"/>
        </w:trPr>
        <w:tc>
          <w:tcPr>
            <w:tcW w:w="451"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bCs/>
                <w:highlight w:val="lightGray"/>
              </w:rPr>
            </w:pPr>
            <w:r>
              <w:rPr>
                <w:bCs/>
                <w:highlight w:val="lightGray"/>
              </w:rPr>
            </w:r>
          </w:p>
        </w:tc>
        <w:tc>
          <w:tcPr>
            <w:tcW w:w="39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rPr>
                <w:highlight w:val="lightGray"/>
              </w:rPr>
            </w:pPr>
            <w:r>
              <w:rPr>
                <w:highlight w:val="lightGray"/>
              </w:rPr>
              <w:t>2</w:t>
            </w:r>
          </w:p>
        </w:tc>
        <w:tc>
          <w:tcPr>
            <w:tcW w:w="60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rPr>
                <w:highlight w:val="yellow"/>
              </w:rPr>
            </w:pPr>
            <w:r>
              <w:rPr>
                <w:highlight w:val="yellow"/>
              </w:rPr>
            </w:r>
          </w:p>
        </w:tc>
        <w:tc>
          <w:tcPr>
            <w:tcW w:w="611" w:type="dxa"/>
            <w:tcBorders>
              <w:top w:val="single" w:sz="4" w:space="0" w:color="000000"/>
              <w:left w:val="single" w:sz="4" w:space="0" w:color="000000"/>
              <w:bottom w:val="single" w:sz="4" w:space="0" w:color="000000"/>
              <w:right w:val="single" w:sz="4" w:space="0" w:color="000000"/>
            </w:tcBorders>
          </w:tcPr>
          <w:p>
            <w:pPr>
              <w:pStyle w:val="Normal"/>
              <w:widowControl w:val="false"/>
              <w:rPr>
                <w:highlight w:val="yellow"/>
              </w:rPr>
            </w:pPr>
            <w:r>
              <w:rPr>
                <w:highlight w:val="yellow"/>
              </w:rPr>
            </w:r>
          </w:p>
        </w:tc>
        <w:tc>
          <w:tcPr>
            <w:tcW w:w="612" w:type="dxa"/>
            <w:tcBorders>
              <w:top w:val="single" w:sz="4" w:space="0" w:color="000000"/>
              <w:left w:val="single" w:sz="4" w:space="0" w:color="000000"/>
              <w:bottom w:val="single" w:sz="4" w:space="0" w:color="000000"/>
              <w:right w:val="single" w:sz="4" w:space="0" w:color="000000"/>
            </w:tcBorders>
          </w:tcPr>
          <w:p>
            <w:pPr>
              <w:pStyle w:val="Normal"/>
              <w:widowControl w:val="false"/>
              <w:rPr>
                <w:highlight w:val="yellow"/>
              </w:rPr>
            </w:pPr>
            <w:r>
              <w:rPr>
                <w:highlight w:val="yellow"/>
              </w:rPr>
            </w:r>
          </w:p>
        </w:tc>
        <w:tc>
          <w:tcPr>
            <w:tcW w:w="778" w:type="dxa"/>
            <w:tcBorders>
              <w:top w:val="single" w:sz="4" w:space="0" w:color="000000"/>
              <w:left w:val="single" w:sz="4" w:space="0" w:color="000000"/>
              <w:bottom w:val="single" w:sz="4" w:space="0" w:color="000000"/>
              <w:right w:val="single" w:sz="4" w:space="0" w:color="000000"/>
            </w:tcBorders>
          </w:tcPr>
          <w:p>
            <w:pPr>
              <w:pStyle w:val="Normal"/>
              <w:widowControl w:val="false"/>
              <w:rPr>
                <w:highlight w:val="yellow"/>
              </w:rPr>
            </w:pPr>
            <w:r>
              <w:rPr>
                <w:highlight w:val="yellow"/>
              </w:rPr>
            </w:r>
          </w:p>
        </w:tc>
        <w:tc>
          <w:tcPr>
            <w:tcW w:w="723" w:type="dxa"/>
            <w:tcBorders>
              <w:top w:val="single" w:sz="4" w:space="0" w:color="000000"/>
              <w:left w:val="single" w:sz="4" w:space="0" w:color="000000"/>
              <w:bottom w:val="single" w:sz="4" w:space="0" w:color="000000"/>
              <w:right w:val="single" w:sz="4" w:space="0" w:color="000000"/>
            </w:tcBorders>
          </w:tcPr>
          <w:p>
            <w:pPr>
              <w:pStyle w:val="Normal"/>
              <w:widowControl w:val="false"/>
              <w:rPr>
                <w:highlight w:val="yellow"/>
              </w:rPr>
            </w:pPr>
            <w:r>
              <w:rPr>
                <w:highlight w:val="yellow"/>
              </w:rPr>
            </w:r>
          </w:p>
        </w:tc>
        <w:tc>
          <w:tcPr>
            <w:tcW w:w="631" w:type="dxa"/>
            <w:tcBorders>
              <w:top w:val="single" w:sz="4" w:space="0" w:color="000000"/>
              <w:left w:val="single" w:sz="4" w:space="0" w:color="000000"/>
              <w:bottom w:val="single" w:sz="4" w:space="0" w:color="000000"/>
              <w:right w:val="single" w:sz="4" w:space="0" w:color="000000"/>
            </w:tcBorders>
          </w:tcPr>
          <w:p>
            <w:pPr>
              <w:pStyle w:val="Normal"/>
              <w:widowControl w:val="false"/>
              <w:rPr>
                <w:highlight w:val="yellow"/>
              </w:rPr>
            </w:pPr>
            <w:r>
              <w:rPr>
                <w:highlight w:val="yellow"/>
              </w:rPr>
            </w:r>
          </w:p>
        </w:tc>
        <w:tc>
          <w:tcPr>
            <w:tcW w:w="736" w:type="dxa"/>
            <w:tcBorders>
              <w:top w:val="single" w:sz="4" w:space="0" w:color="000000"/>
              <w:left w:val="single" w:sz="4" w:space="0" w:color="000000"/>
              <w:bottom w:val="single" w:sz="4" w:space="0" w:color="000000"/>
              <w:right w:val="single" w:sz="4" w:space="0" w:color="000000"/>
            </w:tcBorders>
          </w:tcPr>
          <w:p>
            <w:pPr>
              <w:pStyle w:val="Normal"/>
              <w:widowControl w:val="false"/>
              <w:rPr>
                <w:highlight w:val="yellow"/>
              </w:rPr>
            </w:pPr>
            <w:r>
              <w:rPr>
                <w:highlight w:val="yellow"/>
              </w:rPr>
            </w:r>
          </w:p>
        </w:tc>
        <w:tc>
          <w:tcPr>
            <w:tcW w:w="692" w:type="dxa"/>
            <w:tcBorders>
              <w:top w:val="single" w:sz="4" w:space="0" w:color="000000"/>
              <w:left w:val="single" w:sz="4" w:space="0" w:color="000000"/>
              <w:bottom w:val="single" w:sz="4" w:space="0" w:color="000000"/>
              <w:right w:val="single" w:sz="4" w:space="0" w:color="000000"/>
            </w:tcBorders>
          </w:tcPr>
          <w:p>
            <w:pPr>
              <w:pStyle w:val="Normal"/>
              <w:widowControl w:val="false"/>
              <w:rPr>
                <w:highlight w:val="yellow"/>
              </w:rPr>
            </w:pPr>
            <w:r>
              <w:rPr>
                <w:highlight w:val="yellow"/>
              </w:rPr>
            </w:r>
          </w:p>
        </w:tc>
        <w:tc>
          <w:tcPr>
            <w:tcW w:w="519"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rPr>
                <w:highlight w:val="yellow"/>
              </w:rPr>
            </w:pPr>
            <w:r>
              <w:rPr>
                <w:highlight w:val="yellow"/>
              </w:rPr>
            </w:r>
          </w:p>
        </w:tc>
        <w:tc>
          <w:tcPr>
            <w:tcW w:w="649"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rPr>
                <w:highlight w:val="yellow"/>
              </w:rPr>
            </w:pPr>
            <w:r>
              <w:rPr>
                <w:highlight w:val="yellow"/>
              </w:rPr>
            </w:r>
          </w:p>
        </w:tc>
        <w:tc>
          <w:tcPr>
            <w:tcW w:w="55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rPr>
                <w:highlight w:val="yellow"/>
              </w:rPr>
            </w:pPr>
            <w:r>
              <w:rPr>
                <w:highlight w:val="yellow"/>
              </w:rPr>
            </w:r>
          </w:p>
        </w:tc>
        <w:tc>
          <w:tcPr>
            <w:tcW w:w="51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highlight w:val="yellow"/>
              </w:rPr>
            </w:pPr>
            <w:r>
              <w:rPr>
                <w:highlight w:val="yellow"/>
              </w:rPr>
            </w:r>
          </w:p>
        </w:tc>
        <w:tc>
          <w:tcPr>
            <w:tcW w:w="71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rPr>
                <w:highlight w:val="yellow"/>
              </w:rPr>
            </w:pPr>
            <w:r>
              <w:rPr>
                <w:highlight w:val="yellow"/>
              </w:rPr>
            </w:r>
          </w:p>
        </w:tc>
        <w:tc>
          <w:tcPr>
            <w:tcW w:w="44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highlight w:val="yellow"/>
              </w:rPr>
            </w:pPr>
            <w:r>
              <w:rPr>
                <w:highlight w:val="yellow"/>
              </w:rPr>
            </w:r>
          </w:p>
        </w:tc>
      </w:tr>
      <w:tr>
        <w:trPr>
          <w:trHeight w:val="62" w:hRule="atLeast"/>
        </w:trPr>
        <w:tc>
          <w:tcPr>
            <w:tcW w:w="8470" w:type="dxa"/>
            <w:gridSpan w:val="14"/>
            <w:tcBorders>
              <w:top w:val="single" w:sz="4" w:space="0" w:color="000000"/>
              <w:left w:val="single" w:sz="4" w:space="0" w:color="000000"/>
              <w:bottom w:val="single" w:sz="4" w:space="0" w:color="000000"/>
              <w:right w:val="single" w:sz="4" w:space="0" w:color="000000"/>
            </w:tcBorders>
          </w:tcPr>
          <w:p>
            <w:pPr>
              <w:pStyle w:val="Normal"/>
              <w:widowControl w:val="false"/>
              <w:jc w:val="center"/>
              <w:rPr>
                <w:highlight w:val="yellow"/>
              </w:rPr>
            </w:pPr>
            <w:r>
              <w:rPr>
                <w:highlight w:val="lightGray"/>
              </w:rPr>
              <w:t>Итого стоимость Товара №1</w:t>
            </w:r>
            <w:r>
              <w:rPr/>
              <w:t>, руб. с НДС</w:t>
            </w:r>
          </w:p>
        </w:tc>
        <w:tc>
          <w:tcPr>
            <w:tcW w:w="1164" w:type="dxa"/>
            <w:gridSpan w:val="2"/>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highlight w:val="yellow"/>
              </w:rPr>
            </w:pPr>
            <w:r>
              <w:rPr>
                <w:highlight w:val="yellow"/>
              </w:rPr>
            </w:r>
          </w:p>
        </w:tc>
      </w:tr>
      <w:tr>
        <w:trPr>
          <w:trHeight w:val="538" w:hRule="atLeast"/>
        </w:trPr>
        <w:tc>
          <w:tcPr>
            <w:tcW w:w="451" w:type="dxa"/>
            <w:vMerge w:val="restart"/>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bCs/>
                <w:highlight w:val="lightGray"/>
              </w:rPr>
            </w:pPr>
            <w:r>
              <w:rPr>
                <w:bCs/>
                <w:highlight w:val="lightGray"/>
              </w:rPr>
              <w:t>2</w:t>
            </w:r>
          </w:p>
        </w:tc>
        <w:tc>
          <w:tcPr>
            <w:tcW w:w="39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rPr>
                <w:highlight w:val="lightGray"/>
              </w:rPr>
            </w:pPr>
            <w:r>
              <w:rPr>
                <w:highlight w:val="lightGray"/>
              </w:rPr>
              <w:t>3</w:t>
            </w:r>
          </w:p>
        </w:tc>
        <w:tc>
          <w:tcPr>
            <w:tcW w:w="60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rPr>
                <w:highlight w:val="yellow"/>
              </w:rPr>
            </w:pPr>
            <w:r>
              <w:rPr>
                <w:highlight w:val="yellow"/>
              </w:rPr>
            </w:r>
          </w:p>
        </w:tc>
        <w:tc>
          <w:tcPr>
            <w:tcW w:w="611" w:type="dxa"/>
            <w:tcBorders>
              <w:top w:val="single" w:sz="4" w:space="0" w:color="000000"/>
              <w:left w:val="single" w:sz="4" w:space="0" w:color="000000"/>
              <w:bottom w:val="single" w:sz="4" w:space="0" w:color="000000"/>
              <w:right w:val="single" w:sz="4" w:space="0" w:color="000000"/>
            </w:tcBorders>
          </w:tcPr>
          <w:p>
            <w:pPr>
              <w:pStyle w:val="Normal"/>
              <w:widowControl w:val="false"/>
              <w:rPr>
                <w:highlight w:val="yellow"/>
              </w:rPr>
            </w:pPr>
            <w:r>
              <w:rPr>
                <w:highlight w:val="yellow"/>
              </w:rPr>
            </w:r>
          </w:p>
        </w:tc>
        <w:tc>
          <w:tcPr>
            <w:tcW w:w="612" w:type="dxa"/>
            <w:tcBorders>
              <w:top w:val="single" w:sz="4" w:space="0" w:color="000000"/>
              <w:left w:val="single" w:sz="4" w:space="0" w:color="000000"/>
              <w:bottom w:val="single" w:sz="4" w:space="0" w:color="000000"/>
              <w:right w:val="single" w:sz="4" w:space="0" w:color="000000"/>
            </w:tcBorders>
          </w:tcPr>
          <w:p>
            <w:pPr>
              <w:pStyle w:val="Normal"/>
              <w:widowControl w:val="false"/>
              <w:rPr>
                <w:highlight w:val="yellow"/>
              </w:rPr>
            </w:pPr>
            <w:r>
              <w:rPr>
                <w:highlight w:val="yellow"/>
              </w:rPr>
            </w:r>
          </w:p>
        </w:tc>
        <w:tc>
          <w:tcPr>
            <w:tcW w:w="778" w:type="dxa"/>
            <w:tcBorders>
              <w:top w:val="single" w:sz="4" w:space="0" w:color="000000"/>
              <w:left w:val="single" w:sz="4" w:space="0" w:color="000000"/>
              <w:bottom w:val="single" w:sz="4" w:space="0" w:color="000000"/>
              <w:right w:val="single" w:sz="4" w:space="0" w:color="000000"/>
            </w:tcBorders>
          </w:tcPr>
          <w:p>
            <w:pPr>
              <w:pStyle w:val="Normal"/>
              <w:widowControl w:val="false"/>
              <w:rPr>
                <w:highlight w:val="yellow"/>
              </w:rPr>
            </w:pPr>
            <w:r>
              <w:rPr>
                <w:highlight w:val="yellow"/>
              </w:rPr>
            </w:r>
          </w:p>
        </w:tc>
        <w:tc>
          <w:tcPr>
            <w:tcW w:w="723" w:type="dxa"/>
            <w:tcBorders>
              <w:top w:val="single" w:sz="4" w:space="0" w:color="000000"/>
              <w:left w:val="single" w:sz="4" w:space="0" w:color="000000"/>
              <w:bottom w:val="single" w:sz="4" w:space="0" w:color="000000"/>
              <w:right w:val="single" w:sz="4" w:space="0" w:color="000000"/>
            </w:tcBorders>
          </w:tcPr>
          <w:p>
            <w:pPr>
              <w:pStyle w:val="Normal"/>
              <w:widowControl w:val="false"/>
              <w:rPr>
                <w:highlight w:val="yellow"/>
              </w:rPr>
            </w:pPr>
            <w:r>
              <w:rPr>
                <w:highlight w:val="yellow"/>
              </w:rPr>
            </w:r>
          </w:p>
        </w:tc>
        <w:tc>
          <w:tcPr>
            <w:tcW w:w="631" w:type="dxa"/>
            <w:tcBorders>
              <w:top w:val="single" w:sz="4" w:space="0" w:color="000000"/>
              <w:left w:val="single" w:sz="4" w:space="0" w:color="000000"/>
              <w:bottom w:val="single" w:sz="4" w:space="0" w:color="000000"/>
              <w:right w:val="single" w:sz="4" w:space="0" w:color="000000"/>
            </w:tcBorders>
          </w:tcPr>
          <w:p>
            <w:pPr>
              <w:pStyle w:val="Normal"/>
              <w:widowControl w:val="false"/>
              <w:rPr>
                <w:highlight w:val="yellow"/>
              </w:rPr>
            </w:pPr>
            <w:r>
              <w:rPr>
                <w:highlight w:val="yellow"/>
              </w:rPr>
            </w:r>
          </w:p>
        </w:tc>
        <w:tc>
          <w:tcPr>
            <w:tcW w:w="736" w:type="dxa"/>
            <w:tcBorders>
              <w:top w:val="single" w:sz="4" w:space="0" w:color="000000"/>
              <w:left w:val="single" w:sz="4" w:space="0" w:color="000000"/>
              <w:bottom w:val="single" w:sz="4" w:space="0" w:color="000000"/>
              <w:right w:val="single" w:sz="4" w:space="0" w:color="000000"/>
            </w:tcBorders>
          </w:tcPr>
          <w:p>
            <w:pPr>
              <w:pStyle w:val="Normal"/>
              <w:widowControl w:val="false"/>
              <w:rPr>
                <w:highlight w:val="yellow"/>
              </w:rPr>
            </w:pPr>
            <w:r>
              <w:rPr>
                <w:highlight w:val="yellow"/>
              </w:rPr>
            </w:r>
          </w:p>
        </w:tc>
        <w:tc>
          <w:tcPr>
            <w:tcW w:w="692" w:type="dxa"/>
            <w:tcBorders>
              <w:top w:val="single" w:sz="4" w:space="0" w:color="000000"/>
              <w:left w:val="single" w:sz="4" w:space="0" w:color="000000"/>
              <w:bottom w:val="single" w:sz="4" w:space="0" w:color="000000"/>
              <w:right w:val="single" w:sz="4" w:space="0" w:color="000000"/>
            </w:tcBorders>
          </w:tcPr>
          <w:p>
            <w:pPr>
              <w:pStyle w:val="Normal"/>
              <w:widowControl w:val="false"/>
              <w:rPr>
                <w:highlight w:val="yellow"/>
              </w:rPr>
            </w:pPr>
            <w:r>
              <w:rPr>
                <w:highlight w:val="yellow"/>
              </w:rPr>
            </w:r>
          </w:p>
        </w:tc>
        <w:tc>
          <w:tcPr>
            <w:tcW w:w="519"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rPr>
                <w:highlight w:val="yellow"/>
              </w:rPr>
            </w:pPr>
            <w:r>
              <w:rPr>
                <w:highlight w:val="yellow"/>
              </w:rPr>
            </w:r>
          </w:p>
        </w:tc>
        <w:tc>
          <w:tcPr>
            <w:tcW w:w="649"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rPr>
                <w:highlight w:val="yellow"/>
              </w:rPr>
            </w:pPr>
            <w:r>
              <w:rPr>
                <w:highlight w:val="yellow"/>
              </w:rPr>
            </w:r>
          </w:p>
        </w:tc>
        <w:tc>
          <w:tcPr>
            <w:tcW w:w="55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rPr>
                <w:highlight w:val="yellow"/>
              </w:rPr>
            </w:pPr>
            <w:r>
              <w:rPr>
                <w:highlight w:val="yellow"/>
              </w:rPr>
            </w:r>
          </w:p>
        </w:tc>
        <w:tc>
          <w:tcPr>
            <w:tcW w:w="51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highlight w:val="yellow"/>
              </w:rPr>
            </w:pPr>
            <w:r>
              <w:rPr>
                <w:highlight w:val="yellow"/>
              </w:rPr>
            </w:r>
          </w:p>
        </w:tc>
        <w:tc>
          <w:tcPr>
            <w:tcW w:w="71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rPr>
                <w:highlight w:val="yellow"/>
              </w:rPr>
            </w:pPr>
            <w:r>
              <w:rPr>
                <w:highlight w:val="yellow"/>
              </w:rPr>
            </w:r>
          </w:p>
        </w:tc>
        <w:tc>
          <w:tcPr>
            <w:tcW w:w="44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highlight w:val="yellow"/>
              </w:rPr>
            </w:pPr>
            <w:r>
              <w:rPr>
                <w:highlight w:val="yellow"/>
              </w:rPr>
            </w:r>
          </w:p>
        </w:tc>
      </w:tr>
      <w:tr>
        <w:trPr>
          <w:trHeight w:val="538" w:hRule="atLeast"/>
        </w:trPr>
        <w:tc>
          <w:tcPr>
            <w:tcW w:w="451"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bCs/>
                <w:highlight w:val="lightGray"/>
              </w:rPr>
            </w:pPr>
            <w:r>
              <w:rPr>
                <w:bCs/>
                <w:highlight w:val="lightGray"/>
              </w:rPr>
            </w:r>
          </w:p>
        </w:tc>
        <w:tc>
          <w:tcPr>
            <w:tcW w:w="39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rPr>
                <w:highlight w:val="lightGray"/>
              </w:rPr>
            </w:pPr>
            <w:r>
              <w:rPr>
                <w:highlight w:val="lightGray"/>
              </w:rPr>
              <w:t>4</w:t>
            </w:r>
          </w:p>
        </w:tc>
        <w:tc>
          <w:tcPr>
            <w:tcW w:w="60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rPr>
                <w:highlight w:val="yellow"/>
              </w:rPr>
            </w:pPr>
            <w:r>
              <w:rPr>
                <w:highlight w:val="yellow"/>
              </w:rPr>
            </w:r>
          </w:p>
        </w:tc>
        <w:tc>
          <w:tcPr>
            <w:tcW w:w="611" w:type="dxa"/>
            <w:tcBorders>
              <w:top w:val="single" w:sz="4" w:space="0" w:color="000000"/>
              <w:left w:val="single" w:sz="4" w:space="0" w:color="000000"/>
              <w:bottom w:val="single" w:sz="4" w:space="0" w:color="000000"/>
              <w:right w:val="single" w:sz="4" w:space="0" w:color="000000"/>
            </w:tcBorders>
          </w:tcPr>
          <w:p>
            <w:pPr>
              <w:pStyle w:val="Normal"/>
              <w:widowControl w:val="false"/>
              <w:rPr>
                <w:highlight w:val="yellow"/>
              </w:rPr>
            </w:pPr>
            <w:r>
              <w:rPr>
                <w:highlight w:val="yellow"/>
              </w:rPr>
            </w:r>
          </w:p>
        </w:tc>
        <w:tc>
          <w:tcPr>
            <w:tcW w:w="612" w:type="dxa"/>
            <w:tcBorders>
              <w:top w:val="single" w:sz="4" w:space="0" w:color="000000"/>
              <w:left w:val="single" w:sz="4" w:space="0" w:color="000000"/>
              <w:bottom w:val="single" w:sz="4" w:space="0" w:color="000000"/>
              <w:right w:val="single" w:sz="4" w:space="0" w:color="000000"/>
            </w:tcBorders>
          </w:tcPr>
          <w:p>
            <w:pPr>
              <w:pStyle w:val="Normal"/>
              <w:widowControl w:val="false"/>
              <w:rPr>
                <w:highlight w:val="yellow"/>
              </w:rPr>
            </w:pPr>
            <w:r>
              <w:rPr>
                <w:highlight w:val="yellow"/>
              </w:rPr>
            </w:r>
          </w:p>
        </w:tc>
        <w:tc>
          <w:tcPr>
            <w:tcW w:w="778" w:type="dxa"/>
            <w:tcBorders>
              <w:top w:val="single" w:sz="4" w:space="0" w:color="000000"/>
              <w:left w:val="single" w:sz="4" w:space="0" w:color="000000"/>
              <w:bottom w:val="single" w:sz="4" w:space="0" w:color="000000"/>
              <w:right w:val="single" w:sz="4" w:space="0" w:color="000000"/>
            </w:tcBorders>
          </w:tcPr>
          <w:p>
            <w:pPr>
              <w:pStyle w:val="Normal"/>
              <w:widowControl w:val="false"/>
              <w:rPr>
                <w:highlight w:val="yellow"/>
              </w:rPr>
            </w:pPr>
            <w:r>
              <w:rPr>
                <w:highlight w:val="yellow"/>
              </w:rPr>
            </w:r>
          </w:p>
        </w:tc>
        <w:tc>
          <w:tcPr>
            <w:tcW w:w="723" w:type="dxa"/>
            <w:tcBorders>
              <w:top w:val="single" w:sz="4" w:space="0" w:color="000000"/>
              <w:left w:val="single" w:sz="4" w:space="0" w:color="000000"/>
              <w:bottom w:val="single" w:sz="4" w:space="0" w:color="000000"/>
              <w:right w:val="single" w:sz="4" w:space="0" w:color="000000"/>
            </w:tcBorders>
          </w:tcPr>
          <w:p>
            <w:pPr>
              <w:pStyle w:val="Normal"/>
              <w:widowControl w:val="false"/>
              <w:rPr>
                <w:highlight w:val="yellow"/>
              </w:rPr>
            </w:pPr>
            <w:r>
              <w:rPr>
                <w:highlight w:val="yellow"/>
              </w:rPr>
            </w:r>
          </w:p>
        </w:tc>
        <w:tc>
          <w:tcPr>
            <w:tcW w:w="631" w:type="dxa"/>
            <w:tcBorders>
              <w:top w:val="single" w:sz="4" w:space="0" w:color="000000"/>
              <w:left w:val="single" w:sz="4" w:space="0" w:color="000000"/>
              <w:bottom w:val="single" w:sz="4" w:space="0" w:color="000000"/>
              <w:right w:val="single" w:sz="4" w:space="0" w:color="000000"/>
            </w:tcBorders>
          </w:tcPr>
          <w:p>
            <w:pPr>
              <w:pStyle w:val="Normal"/>
              <w:widowControl w:val="false"/>
              <w:rPr>
                <w:highlight w:val="yellow"/>
              </w:rPr>
            </w:pPr>
            <w:r>
              <w:rPr>
                <w:highlight w:val="yellow"/>
              </w:rPr>
            </w:r>
          </w:p>
        </w:tc>
        <w:tc>
          <w:tcPr>
            <w:tcW w:w="736" w:type="dxa"/>
            <w:tcBorders>
              <w:top w:val="single" w:sz="4" w:space="0" w:color="000000"/>
              <w:left w:val="single" w:sz="4" w:space="0" w:color="000000"/>
              <w:bottom w:val="single" w:sz="4" w:space="0" w:color="000000"/>
              <w:right w:val="single" w:sz="4" w:space="0" w:color="000000"/>
            </w:tcBorders>
          </w:tcPr>
          <w:p>
            <w:pPr>
              <w:pStyle w:val="Normal"/>
              <w:widowControl w:val="false"/>
              <w:rPr>
                <w:highlight w:val="yellow"/>
              </w:rPr>
            </w:pPr>
            <w:r>
              <w:rPr>
                <w:highlight w:val="yellow"/>
              </w:rPr>
            </w:r>
          </w:p>
        </w:tc>
        <w:tc>
          <w:tcPr>
            <w:tcW w:w="692" w:type="dxa"/>
            <w:tcBorders>
              <w:top w:val="single" w:sz="4" w:space="0" w:color="000000"/>
              <w:left w:val="single" w:sz="4" w:space="0" w:color="000000"/>
              <w:bottom w:val="single" w:sz="4" w:space="0" w:color="000000"/>
              <w:right w:val="single" w:sz="4" w:space="0" w:color="000000"/>
            </w:tcBorders>
          </w:tcPr>
          <w:p>
            <w:pPr>
              <w:pStyle w:val="Normal"/>
              <w:widowControl w:val="false"/>
              <w:rPr>
                <w:highlight w:val="yellow"/>
              </w:rPr>
            </w:pPr>
            <w:r>
              <w:rPr>
                <w:highlight w:val="yellow"/>
              </w:rPr>
            </w:r>
          </w:p>
        </w:tc>
        <w:tc>
          <w:tcPr>
            <w:tcW w:w="519"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rPr>
                <w:highlight w:val="yellow"/>
              </w:rPr>
            </w:pPr>
            <w:r>
              <w:rPr>
                <w:highlight w:val="yellow"/>
              </w:rPr>
            </w:r>
          </w:p>
        </w:tc>
        <w:tc>
          <w:tcPr>
            <w:tcW w:w="649"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rPr>
                <w:highlight w:val="yellow"/>
              </w:rPr>
            </w:pPr>
            <w:r>
              <w:rPr>
                <w:highlight w:val="yellow"/>
              </w:rPr>
            </w:r>
          </w:p>
        </w:tc>
        <w:tc>
          <w:tcPr>
            <w:tcW w:w="55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rPr>
                <w:highlight w:val="yellow"/>
              </w:rPr>
            </w:pPr>
            <w:r>
              <w:rPr>
                <w:highlight w:val="yellow"/>
              </w:rPr>
            </w:r>
          </w:p>
        </w:tc>
        <w:tc>
          <w:tcPr>
            <w:tcW w:w="51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highlight w:val="yellow"/>
              </w:rPr>
            </w:pPr>
            <w:r>
              <w:rPr>
                <w:highlight w:val="yellow"/>
              </w:rPr>
            </w:r>
          </w:p>
        </w:tc>
        <w:tc>
          <w:tcPr>
            <w:tcW w:w="71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rPr>
                <w:highlight w:val="yellow"/>
              </w:rPr>
            </w:pPr>
            <w:r>
              <w:rPr>
                <w:highlight w:val="yellow"/>
              </w:rPr>
            </w:r>
          </w:p>
        </w:tc>
        <w:tc>
          <w:tcPr>
            <w:tcW w:w="44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highlight w:val="yellow"/>
              </w:rPr>
            </w:pPr>
            <w:r>
              <w:rPr>
                <w:highlight w:val="yellow"/>
              </w:rPr>
            </w:r>
          </w:p>
        </w:tc>
      </w:tr>
      <w:tr>
        <w:trPr>
          <w:trHeight w:val="62" w:hRule="atLeast"/>
        </w:trPr>
        <w:tc>
          <w:tcPr>
            <w:tcW w:w="8470" w:type="dxa"/>
            <w:gridSpan w:val="14"/>
            <w:tcBorders>
              <w:top w:val="single" w:sz="4" w:space="0" w:color="000000"/>
              <w:left w:val="single" w:sz="4" w:space="0" w:color="000000"/>
              <w:bottom w:val="single" w:sz="4" w:space="0" w:color="000000"/>
              <w:right w:val="single" w:sz="4" w:space="0" w:color="000000"/>
            </w:tcBorders>
          </w:tcPr>
          <w:p>
            <w:pPr>
              <w:pStyle w:val="Normal"/>
              <w:widowControl w:val="false"/>
              <w:jc w:val="center"/>
              <w:rPr>
                <w:highlight w:val="yellow"/>
              </w:rPr>
            </w:pPr>
            <w:r>
              <w:rPr>
                <w:highlight w:val="lightGray"/>
              </w:rPr>
              <w:t>Итого стоимость Товара №2</w:t>
            </w:r>
            <w:r>
              <w:rPr/>
              <w:t>, руб. с НДС</w:t>
            </w:r>
          </w:p>
        </w:tc>
        <w:tc>
          <w:tcPr>
            <w:tcW w:w="1164" w:type="dxa"/>
            <w:gridSpan w:val="2"/>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highlight w:val="yellow"/>
              </w:rPr>
            </w:pPr>
            <w:r>
              <w:rPr>
                <w:highlight w:val="yellow"/>
              </w:rPr>
            </w:r>
          </w:p>
        </w:tc>
      </w:tr>
      <w:tr>
        <w:trPr>
          <w:trHeight w:val="262" w:hRule="atLeast"/>
        </w:trPr>
        <w:tc>
          <w:tcPr>
            <w:tcW w:w="8470" w:type="dxa"/>
            <w:gridSpan w:val="14"/>
            <w:tcBorders>
              <w:top w:val="single" w:sz="4" w:space="0" w:color="000000"/>
              <w:left w:val="single" w:sz="4" w:space="0" w:color="000000"/>
              <w:bottom w:val="single" w:sz="4" w:space="0" w:color="000000"/>
              <w:right w:val="single" w:sz="4" w:space="0" w:color="000000"/>
            </w:tcBorders>
          </w:tcPr>
          <w:p>
            <w:pPr>
              <w:pStyle w:val="Normal"/>
              <w:widowControl w:val="false"/>
              <w:jc w:val="center"/>
              <w:rPr>
                <w:highlight w:val="yellow"/>
              </w:rPr>
            </w:pPr>
            <w:r>
              <w:rPr>
                <w:highlight w:val="lightGray"/>
              </w:rPr>
              <w:t>Итого стоимость всего Товара (с учетом доставки), руб. с НДС:</w:t>
            </w:r>
          </w:p>
        </w:tc>
        <w:tc>
          <w:tcPr>
            <w:tcW w:w="1164" w:type="dxa"/>
            <w:gridSpan w:val="2"/>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highlight w:val="yellow"/>
              </w:rPr>
            </w:pPr>
            <w:r>
              <w:rPr>
                <w:highlight w:val="yellow"/>
              </w:rPr>
            </w:r>
          </w:p>
        </w:tc>
      </w:tr>
    </w:tbl>
    <w:p>
      <w:pPr>
        <w:pStyle w:val="Normal"/>
        <w:rPr>
          <w:i/>
          <w:i/>
          <w:sz w:val="24"/>
          <w:szCs w:val="24"/>
          <w:highlight w:val="yellow"/>
        </w:rPr>
      </w:pPr>
      <w:r>
        <w:rPr>
          <w:i/>
          <w:sz w:val="24"/>
          <w:szCs w:val="24"/>
          <w:highlight w:val="yellow"/>
        </w:rPr>
      </w:r>
    </w:p>
    <w:p>
      <w:pPr>
        <w:pStyle w:val="Normal"/>
        <w:rPr>
          <w:i/>
          <w:i/>
          <w:sz w:val="22"/>
          <w:szCs w:val="22"/>
          <w:highlight w:val="lightGray"/>
        </w:rPr>
      </w:pPr>
      <w:r>
        <w:rPr>
          <w:i/>
          <w:sz w:val="22"/>
          <w:szCs w:val="22"/>
          <w:highlight w:val="lightGray"/>
        </w:rPr>
        <w:t>1. В спецификацию при необходимости включаются требования к Товару, таре/упаковке, перечень нормативных документов, которым должен соответствовать Товар  (ГОСТ, ТУ) и иные сведения, имеющие значение для Договора;</w:t>
      </w:r>
    </w:p>
    <w:p>
      <w:pPr>
        <w:pStyle w:val="Normal"/>
        <w:rPr>
          <w:i/>
          <w:i/>
          <w:sz w:val="22"/>
          <w:szCs w:val="22"/>
        </w:rPr>
      </w:pPr>
      <w:r>
        <w:rPr>
          <w:i/>
          <w:sz w:val="22"/>
          <w:szCs w:val="22"/>
          <w:highlight w:val="lightGray"/>
        </w:rPr>
        <w:t>2. По требованию Покупателя Поставщик обязан представить запрашиваемую информацию/документы, расчеты, обосновывающие стоимость доставки.</w:t>
      </w:r>
      <w:r>
        <w:rPr>
          <w:i/>
          <w:sz w:val="22"/>
          <w:szCs w:val="22"/>
        </w:rPr>
        <w:t xml:space="preserve"> </w:t>
      </w:r>
    </w:p>
    <w:p>
      <w:pPr>
        <w:pStyle w:val="Normal"/>
        <w:rPr>
          <w:i/>
          <w:i/>
          <w:sz w:val="22"/>
          <w:szCs w:val="22"/>
        </w:rPr>
      </w:pPr>
      <w:r>
        <w:rPr>
          <w:i/>
          <w:sz w:val="22"/>
          <w:szCs w:val="22"/>
        </w:rPr>
      </w:r>
    </w:p>
    <w:p>
      <w:pPr>
        <w:pStyle w:val="Normal"/>
        <w:rPr>
          <w:i/>
          <w:i/>
          <w:sz w:val="22"/>
          <w:szCs w:val="22"/>
        </w:rPr>
      </w:pPr>
      <w:r>
        <w:rPr>
          <w:i/>
          <w:sz w:val="22"/>
          <w:szCs w:val="22"/>
        </w:rPr>
      </w:r>
    </w:p>
    <w:tbl>
      <w:tblPr>
        <w:tblW w:w="9637" w:type="dxa"/>
        <w:jc w:val="left"/>
        <w:tblInd w:w="108" w:type="dxa"/>
        <w:tblLayout w:type="fixed"/>
        <w:tblCellMar>
          <w:top w:w="0" w:type="dxa"/>
          <w:left w:w="108" w:type="dxa"/>
          <w:bottom w:w="0" w:type="dxa"/>
          <w:right w:w="108" w:type="dxa"/>
        </w:tblCellMar>
        <w:tblLook w:noVBand="0" w:val="0000" w:noHBand="0" w:lastColumn="0" w:firstColumn="0" w:lastRow="0" w:firstRow="0"/>
      </w:tblPr>
      <w:tblGrid>
        <w:gridCol w:w="4829"/>
        <w:gridCol w:w="4807"/>
      </w:tblGrid>
      <w:tr>
        <w:trPr>
          <w:trHeight w:val="269" w:hRule="atLeast"/>
        </w:trPr>
        <w:tc>
          <w:tcPr>
            <w:tcW w:w="4829" w:type="dxa"/>
            <w:tcBorders/>
          </w:tcPr>
          <w:p>
            <w:pPr>
              <w:pStyle w:val="Normal"/>
              <w:widowControl w:val="false"/>
              <w:rPr>
                <w:b/>
                <w:sz w:val="24"/>
              </w:rPr>
            </w:pPr>
            <w:r>
              <w:rPr>
                <w:b/>
                <w:sz w:val="24"/>
              </w:rPr>
              <w:t>Покупатель:</w:t>
            </w:r>
          </w:p>
        </w:tc>
        <w:tc>
          <w:tcPr>
            <w:tcW w:w="4807" w:type="dxa"/>
            <w:tcBorders/>
          </w:tcPr>
          <w:p>
            <w:pPr>
              <w:pStyle w:val="Normal"/>
              <w:widowControl w:val="false"/>
              <w:rPr>
                <w:b/>
                <w:sz w:val="24"/>
              </w:rPr>
            </w:pPr>
            <w:r>
              <w:rPr>
                <w:b/>
                <w:sz w:val="24"/>
              </w:rPr>
              <w:t>Поставщик:</w:t>
            </w:r>
          </w:p>
        </w:tc>
      </w:tr>
    </w:tbl>
    <w:p>
      <w:pPr>
        <w:pStyle w:val="Normal"/>
        <w:rPr/>
      </w:pPr>
      <w:r>
        <w:rPr/>
        <w:t xml:space="preserve"> </w:t>
      </w:r>
      <w:r>
        <w:rPr/>
        <w:t>__________ /__________</w:t>
        <w:tab/>
        <w:t xml:space="preserve">                                                       ___________ /___________</w:t>
      </w:r>
    </w:p>
    <w:p>
      <w:pPr>
        <w:pStyle w:val="Normal"/>
        <w:rPr>
          <w:i/>
          <w:i/>
          <w:sz w:val="24"/>
          <w:szCs w:val="24"/>
          <w:highlight w:val="yellow"/>
        </w:rPr>
      </w:pPr>
      <w:r>
        <w:rPr>
          <w:i/>
          <w:sz w:val="24"/>
          <w:szCs w:val="24"/>
          <w:highlight w:val="yellow"/>
        </w:rPr>
      </w:r>
    </w:p>
    <w:p>
      <w:pPr>
        <w:pStyle w:val="Normal"/>
        <w:widowControl/>
        <w:rPr>
          <w:rFonts w:eastAsia="Calibri"/>
          <w:b/>
          <w:sz w:val="24"/>
          <w:szCs w:val="24"/>
          <w:lang w:eastAsia="en-US"/>
        </w:rPr>
      </w:pPr>
      <w:r>
        <w:rPr>
          <w:rFonts w:eastAsia="Calibri"/>
          <w:b/>
          <w:sz w:val="24"/>
          <w:szCs w:val="24"/>
          <w:lang w:eastAsia="en-US"/>
        </w:rPr>
      </w:r>
    </w:p>
    <w:p>
      <w:pPr>
        <w:pStyle w:val="Normal"/>
        <w:widowControl/>
        <w:rPr>
          <w:rFonts w:eastAsia="Calibri"/>
          <w:b/>
          <w:sz w:val="24"/>
          <w:szCs w:val="24"/>
          <w:lang w:eastAsia="en-US"/>
        </w:rPr>
      </w:pPr>
      <w:r>
        <w:rPr>
          <w:rFonts w:eastAsia="Calibri"/>
          <w:b/>
          <w:sz w:val="24"/>
          <w:szCs w:val="24"/>
          <w:lang w:eastAsia="en-US"/>
        </w:rPr>
      </w:r>
    </w:p>
    <w:p>
      <w:pPr>
        <w:pStyle w:val="Normal"/>
        <w:widowControl/>
        <w:rPr>
          <w:rFonts w:eastAsia="Calibri"/>
          <w:b/>
          <w:sz w:val="24"/>
          <w:szCs w:val="24"/>
          <w:lang w:eastAsia="en-US"/>
        </w:rPr>
      </w:pPr>
      <w:r>
        <w:rPr>
          <w:rFonts w:eastAsia="Calibri"/>
          <w:b/>
          <w:sz w:val="24"/>
          <w:szCs w:val="24"/>
          <w:lang w:eastAsia="en-US"/>
        </w:rPr>
      </w:r>
    </w:p>
    <w:p>
      <w:pPr>
        <w:pStyle w:val="Normal"/>
        <w:widowControl/>
        <w:rPr>
          <w:rFonts w:eastAsia="Calibri"/>
          <w:b/>
          <w:sz w:val="24"/>
          <w:szCs w:val="24"/>
          <w:lang w:eastAsia="en-US"/>
        </w:rPr>
      </w:pPr>
      <w:r>
        <w:rPr>
          <w:rFonts w:eastAsia="Calibri"/>
          <w:b/>
          <w:sz w:val="24"/>
          <w:szCs w:val="24"/>
          <w:lang w:eastAsia="en-US"/>
        </w:rPr>
      </w:r>
    </w:p>
    <w:p>
      <w:pPr>
        <w:pStyle w:val="Normal"/>
        <w:widowControl/>
        <w:rPr>
          <w:rFonts w:eastAsia="Calibri"/>
          <w:b/>
          <w:sz w:val="24"/>
          <w:szCs w:val="24"/>
          <w:lang w:eastAsia="en-US"/>
        </w:rPr>
      </w:pPr>
      <w:r>
        <w:rPr>
          <w:rFonts w:eastAsia="Calibri"/>
          <w:b/>
          <w:sz w:val="24"/>
          <w:szCs w:val="24"/>
          <w:lang w:eastAsia="en-US"/>
        </w:rPr>
      </w:r>
    </w:p>
    <w:p>
      <w:pPr>
        <w:pStyle w:val="Normal"/>
        <w:widowControl/>
        <w:rPr>
          <w:rFonts w:eastAsia="Calibri"/>
          <w:b/>
          <w:sz w:val="24"/>
          <w:szCs w:val="24"/>
          <w:lang w:eastAsia="en-US"/>
        </w:rPr>
      </w:pPr>
      <w:r>
        <w:rPr>
          <w:rFonts w:eastAsia="Calibri"/>
          <w:b/>
          <w:sz w:val="24"/>
          <w:szCs w:val="24"/>
          <w:lang w:eastAsia="en-US"/>
        </w:rPr>
      </w:r>
    </w:p>
    <w:p>
      <w:pPr>
        <w:pStyle w:val="Normal"/>
        <w:widowControl/>
        <w:rPr>
          <w:rFonts w:eastAsia="Calibri"/>
          <w:b/>
          <w:sz w:val="24"/>
          <w:szCs w:val="24"/>
          <w:lang w:eastAsia="en-US"/>
        </w:rPr>
      </w:pPr>
      <w:r>
        <w:rPr>
          <w:rFonts w:eastAsia="Calibri"/>
          <w:b/>
          <w:sz w:val="24"/>
          <w:szCs w:val="24"/>
          <w:lang w:eastAsia="en-US"/>
        </w:rPr>
      </w:r>
    </w:p>
    <w:p>
      <w:pPr>
        <w:pStyle w:val="Normal"/>
        <w:widowControl/>
        <w:rPr>
          <w:rFonts w:eastAsia="Calibri"/>
          <w:b/>
          <w:sz w:val="24"/>
          <w:szCs w:val="24"/>
          <w:lang w:eastAsia="en-US"/>
        </w:rPr>
      </w:pPr>
      <w:r>
        <w:rPr>
          <w:rFonts w:eastAsia="Calibri"/>
          <w:b/>
          <w:sz w:val="24"/>
          <w:szCs w:val="24"/>
          <w:lang w:eastAsia="en-US"/>
        </w:rPr>
      </w:r>
    </w:p>
    <w:p>
      <w:pPr>
        <w:pStyle w:val="Normal"/>
        <w:widowControl/>
        <w:rPr>
          <w:rFonts w:eastAsia="Calibri"/>
          <w:b/>
          <w:sz w:val="24"/>
          <w:szCs w:val="24"/>
          <w:lang w:eastAsia="en-US"/>
        </w:rPr>
      </w:pPr>
      <w:r>
        <w:rPr>
          <w:rFonts w:eastAsia="Calibri"/>
          <w:b/>
          <w:sz w:val="24"/>
          <w:szCs w:val="24"/>
          <w:lang w:eastAsia="en-US"/>
        </w:rPr>
      </w:r>
    </w:p>
    <w:p>
      <w:pPr>
        <w:pStyle w:val="Normal"/>
        <w:widowControl/>
        <w:rPr>
          <w:rFonts w:eastAsia="Calibri"/>
          <w:b/>
          <w:sz w:val="24"/>
          <w:szCs w:val="24"/>
          <w:lang w:eastAsia="en-US"/>
        </w:rPr>
      </w:pPr>
      <w:r>
        <w:rPr>
          <w:rFonts w:eastAsia="Calibri"/>
          <w:b/>
          <w:sz w:val="24"/>
          <w:szCs w:val="24"/>
          <w:lang w:eastAsia="en-US"/>
        </w:rPr>
      </w:r>
    </w:p>
    <w:p>
      <w:pPr>
        <w:pStyle w:val="Normal"/>
        <w:widowControl/>
        <w:rPr>
          <w:rFonts w:eastAsia="Calibri"/>
          <w:b/>
          <w:sz w:val="24"/>
          <w:szCs w:val="24"/>
          <w:lang w:eastAsia="en-US"/>
        </w:rPr>
      </w:pPr>
      <w:r>
        <w:rPr>
          <w:rFonts w:eastAsia="Calibri"/>
          <w:b/>
          <w:sz w:val="24"/>
          <w:szCs w:val="24"/>
          <w:lang w:eastAsia="en-US"/>
        </w:rPr>
      </w:r>
    </w:p>
    <w:p>
      <w:pPr>
        <w:pStyle w:val="Normal"/>
        <w:widowControl/>
        <w:rPr>
          <w:rFonts w:eastAsia="Calibri"/>
          <w:b/>
          <w:sz w:val="24"/>
          <w:szCs w:val="24"/>
          <w:lang w:eastAsia="en-US"/>
        </w:rPr>
      </w:pPr>
      <w:r>
        <w:rPr>
          <w:rFonts w:eastAsia="Calibri"/>
          <w:b/>
          <w:sz w:val="24"/>
          <w:szCs w:val="24"/>
          <w:lang w:eastAsia="en-US"/>
        </w:rPr>
      </w:r>
    </w:p>
    <w:p>
      <w:pPr>
        <w:pStyle w:val="Normal"/>
        <w:widowControl/>
        <w:rPr>
          <w:rFonts w:eastAsia="Calibri"/>
          <w:b/>
          <w:sz w:val="24"/>
          <w:szCs w:val="24"/>
          <w:lang w:eastAsia="en-US"/>
        </w:rPr>
      </w:pPr>
      <w:r>
        <w:rPr>
          <w:rFonts w:eastAsia="Calibri"/>
          <w:b/>
          <w:sz w:val="24"/>
          <w:szCs w:val="24"/>
          <w:lang w:eastAsia="en-US"/>
        </w:rPr>
      </w:r>
    </w:p>
    <w:p>
      <w:pPr>
        <w:pStyle w:val="Normal"/>
        <w:widowControl/>
        <w:rPr>
          <w:rFonts w:eastAsia="Calibri"/>
          <w:b/>
          <w:sz w:val="24"/>
          <w:szCs w:val="24"/>
          <w:lang w:eastAsia="en-US"/>
        </w:rPr>
      </w:pPr>
      <w:r>
        <w:rPr>
          <w:rFonts w:eastAsia="Calibri"/>
          <w:b/>
          <w:sz w:val="24"/>
          <w:szCs w:val="24"/>
          <w:lang w:eastAsia="en-US"/>
        </w:rPr>
      </w:r>
    </w:p>
    <w:p>
      <w:pPr>
        <w:pStyle w:val="Normal"/>
        <w:widowControl/>
        <w:rPr>
          <w:rFonts w:eastAsia="Calibri"/>
          <w:b/>
          <w:sz w:val="24"/>
          <w:szCs w:val="24"/>
          <w:lang w:eastAsia="en-US"/>
        </w:rPr>
      </w:pPr>
      <w:r>
        <w:rPr>
          <w:rFonts w:eastAsia="Calibri"/>
          <w:b/>
          <w:sz w:val="24"/>
          <w:szCs w:val="24"/>
          <w:lang w:eastAsia="en-US"/>
        </w:rPr>
      </w:r>
    </w:p>
    <w:p>
      <w:pPr>
        <w:pStyle w:val="Normal"/>
        <w:widowControl/>
        <w:rPr>
          <w:rFonts w:eastAsia="Calibri"/>
          <w:b/>
          <w:sz w:val="24"/>
          <w:szCs w:val="24"/>
          <w:lang w:eastAsia="en-US"/>
        </w:rPr>
      </w:pPr>
      <w:r>
        <w:rPr>
          <w:rFonts w:eastAsia="Calibri"/>
          <w:b/>
          <w:sz w:val="24"/>
          <w:szCs w:val="24"/>
          <w:lang w:eastAsia="en-US"/>
        </w:rPr>
      </w:r>
    </w:p>
    <w:p>
      <w:pPr>
        <w:pStyle w:val="Normal"/>
        <w:widowControl/>
        <w:rPr>
          <w:rFonts w:eastAsia="Calibri"/>
          <w:b/>
          <w:sz w:val="24"/>
          <w:szCs w:val="24"/>
          <w:lang w:eastAsia="en-US"/>
        </w:rPr>
      </w:pPr>
      <w:r>
        <w:rPr>
          <w:rFonts w:eastAsia="Calibri"/>
          <w:b/>
          <w:sz w:val="24"/>
          <w:szCs w:val="24"/>
          <w:lang w:eastAsia="en-US"/>
        </w:rPr>
      </w:r>
    </w:p>
    <w:p>
      <w:pPr>
        <w:pStyle w:val="Normal"/>
        <w:widowControl/>
        <w:rPr>
          <w:rFonts w:eastAsia="Calibri"/>
          <w:b/>
          <w:sz w:val="24"/>
          <w:szCs w:val="24"/>
          <w:lang w:eastAsia="en-US"/>
        </w:rPr>
      </w:pPr>
      <w:r>
        <w:rPr>
          <w:rFonts w:eastAsia="Calibri"/>
          <w:b/>
          <w:sz w:val="24"/>
          <w:szCs w:val="24"/>
          <w:lang w:eastAsia="en-US"/>
        </w:rPr>
      </w:r>
    </w:p>
    <w:p>
      <w:pPr>
        <w:pStyle w:val="Normal"/>
        <w:widowControl/>
        <w:rPr>
          <w:rFonts w:eastAsia="Calibri"/>
          <w:b/>
          <w:sz w:val="24"/>
          <w:szCs w:val="24"/>
          <w:lang w:eastAsia="en-US"/>
        </w:rPr>
      </w:pPr>
      <w:r>
        <w:rPr>
          <w:rFonts w:eastAsia="Calibri"/>
          <w:b/>
          <w:sz w:val="24"/>
          <w:szCs w:val="24"/>
          <w:lang w:eastAsia="en-US"/>
        </w:rPr>
      </w:r>
    </w:p>
    <w:p>
      <w:pPr>
        <w:pStyle w:val="Normal"/>
        <w:widowControl/>
        <w:rPr>
          <w:rFonts w:eastAsia="Calibri"/>
          <w:b/>
          <w:sz w:val="24"/>
          <w:szCs w:val="24"/>
          <w:lang w:eastAsia="en-US"/>
        </w:rPr>
      </w:pPr>
      <w:r>
        <w:rPr>
          <w:rFonts w:eastAsia="Calibri"/>
          <w:b/>
          <w:sz w:val="24"/>
          <w:szCs w:val="24"/>
          <w:lang w:eastAsia="en-US"/>
        </w:rPr>
      </w:r>
    </w:p>
    <w:p>
      <w:pPr>
        <w:pStyle w:val="Normal"/>
        <w:widowControl/>
        <w:rPr>
          <w:rFonts w:eastAsia="Calibri"/>
          <w:b/>
          <w:sz w:val="24"/>
          <w:szCs w:val="24"/>
          <w:lang w:eastAsia="en-US"/>
        </w:rPr>
      </w:pPr>
      <w:r>
        <w:rPr>
          <w:rFonts w:eastAsia="Calibri"/>
          <w:b/>
          <w:sz w:val="24"/>
          <w:szCs w:val="24"/>
          <w:lang w:eastAsia="en-US"/>
        </w:rPr>
      </w:r>
    </w:p>
    <w:p>
      <w:pPr>
        <w:pStyle w:val="Normal"/>
        <w:widowControl/>
        <w:rPr>
          <w:rFonts w:eastAsia="Calibri"/>
          <w:b/>
          <w:sz w:val="24"/>
          <w:szCs w:val="24"/>
          <w:lang w:eastAsia="en-US"/>
        </w:rPr>
      </w:pPr>
      <w:r>
        <w:rPr>
          <w:rFonts w:eastAsia="Calibri"/>
          <w:b/>
          <w:sz w:val="24"/>
          <w:szCs w:val="24"/>
          <w:lang w:eastAsia="en-US"/>
        </w:rPr>
      </w:r>
    </w:p>
    <w:p>
      <w:pPr>
        <w:pStyle w:val="Normal"/>
        <w:widowControl/>
        <w:rPr>
          <w:rFonts w:eastAsia="Calibri"/>
          <w:b/>
          <w:sz w:val="24"/>
          <w:szCs w:val="24"/>
          <w:lang w:eastAsia="en-US"/>
        </w:rPr>
      </w:pPr>
      <w:r>
        <w:rPr>
          <w:rFonts w:eastAsia="Calibri"/>
          <w:b/>
          <w:sz w:val="24"/>
          <w:szCs w:val="24"/>
          <w:lang w:eastAsia="en-US"/>
        </w:rPr>
      </w:r>
    </w:p>
    <w:p>
      <w:pPr>
        <w:pStyle w:val="Normal"/>
        <w:widowControl/>
        <w:rPr>
          <w:rFonts w:eastAsia="Calibri"/>
          <w:b/>
          <w:sz w:val="24"/>
          <w:szCs w:val="24"/>
          <w:lang w:eastAsia="en-US"/>
        </w:rPr>
      </w:pPr>
      <w:r>
        <w:rPr>
          <w:rFonts w:eastAsia="Calibri"/>
          <w:b/>
          <w:sz w:val="24"/>
          <w:szCs w:val="24"/>
          <w:lang w:eastAsia="en-US"/>
        </w:rPr>
      </w:r>
    </w:p>
    <w:p>
      <w:pPr>
        <w:pStyle w:val="Normal"/>
        <w:widowControl/>
        <w:rPr>
          <w:rFonts w:eastAsia="Calibri"/>
          <w:b/>
          <w:sz w:val="24"/>
          <w:szCs w:val="24"/>
          <w:lang w:eastAsia="en-US"/>
        </w:rPr>
      </w:pPr>
      <w:r>
        <w:rPr>
          <w:rFonts w:eastAsia="Calibri"/>
          <w:b/>
          <w:sz w:val="24"/>
          <w:szCs w:val="24"/>
          <w:lang w:eastAsia="en-US"/>
        </w:rPr>
      </w:r>
    </w:p>
    <w:p>
      <w:pPr>
        <w:pStyle w:val="Normal"/>
        <w:widowControl/>
        <w:rPr>
          <w:rFonts w:eastAsia="Calibri"/>
          <w:b/>
          <w:sz w:val="24"/>
          <w:szCs w:val="24"/>
          <w:lang w:eastAsia="en-US"/>
        </w:rPr>
      </w:pPr>
      <w:r>
        <w:rPr>
          <w:rFonts w:eastAsia="Calibri"/>
          <w:b/>
          <w:sz w:val="24"/>
          <w:szCs w:val="24"/>
          <w:lang w:eastAsia="en-US"/>
        </w:rPr>
      </w:r>
    </w:p>
    <w:p>
      <w:pPr>
        <w:pStyle w:val="Normal"/>
        <w:widowControl/>
        <w:rPr>
          <w:rFonts w:eastAsia="Calibri"/>
          <w:b/>
          <w:sz w:val="24"/>
          <w:szCs w:val="24"/>
          <w:lang w:eastAsia="en-US"/>
        </w:rPr>
      </w:pPr>
      <w:r>
        <w:rPr>
          <w:rFonts w:eastAsia="Calibri"/>
          <w:b/>
          <w:sz w:val="24"/>
          <w:szCs w:val="24"/>
          <w:lang w:eastAsia="en-US"/>
        </w:rPr>
      </w:r>
    </w:p>
    <w:p>
      <w:pPr>
        <w:pStyle w:val="Normal"/>
        <w:widowControl/>
        <w:rPr>
          <w:rFonts w:eastAsia="Calibri"/>
          <w:b/>
          <w:sz w:val="24"/>
          <w:szCs w:val="24"/>
          <w:lang w:eastAsia="en-US"/>
        </w:rPr>
      </w:pPr>
      <w:r>
        <w:rPr>
          <w:rFonts w:eastAsia="Calibri"/>
          <w:b/>
          <w:sz w:val="24"/>
          <w:szCs w:val="24"/>
          <w:lang w:eastAsia="en-US"/>
        </w:rPr>
      </w:r>
    </w:p>
    <w:p>
      <w:pPr>
        <w:pStyle w:val="Normal"/>
        <w:widowControl/>
        <w:rPr>
          <w:rFonts w:eastAsia="Calibri"/>
          <w:b/>
          <w:sz w:val="24"/>
          <w:szCs w:val="24"/>
          <w:lang w:eastAsia="en-US"/>
        </w:rPr>
      </w:pPr>
      <w:r>
        <w:rPr>
          <w:rFonts w:eastAsia="Calibri"/>
          <w:b/>
          <w:sz w:val="24"/>
          <w:szCs w:val="24"/>
          <w:lang w:eastAsia="en-US"/>
        </w:rPr>
      </w:r>
    </w:p>
    <w:p>
      <w:pPr>
        <w:pStyle w:val="Normal"/>
        <w:widowControl/>
        <w:rPr>
          <w:rFonts w:eastAsia="Calibri"/>
          <w:b/>
          <w:sz w:val="24"/>
          <w:szCs w:val="24"/>
          <w:lang w:eastAsia="en-US"/>
        </w:rPr>
      </w:pPr>
      <w:r>
        <w:rPr>
          <w:rFonts w:eastAsia="Calibri"/>
          <w:b/>
          <w:sz w:val="24"/>
          <w:szCs w:val="24"/>
          <w:lang w:eastAsia="en-US"/>
        </w:rPr>
      </w:r>
    </w:p>
    <w:p>
      <w:pPr>
        <w:pStyle w:val="Normal"/>
        <w:widowControl/>
        <w:rPr>
          <w:rFonts w:eastAsia="Calibri"/>
          <w:b/>
          <w:sz w:val="24"/>
          <w:szCs w:val="24"/>
          <w:lang w:eastAsia="en-US"/>
        </w:rPr>
      </w:pPr>
      <w:r>
        <w:rPr>
          <w:rFonts w:eastAsia="Calibri"/>
          <w:b/>
          <w:sz w:val="24"/>
          <w:szCs w:val="24"/>
          <w:lang w:eastAsia="en-US"/>
        </w:rPr>
      </w:r>
    </w:p>
    <w:p>
      <w:pPr>
        <w:pStyle w:val="Normal"/>
        <w:widowControl/>
        <w:rPr>
          <w:rFonts w:eastAsia="Calibri"/>
          <w:b/>
          <w:sz w:val="24"/>
          <w:szCs w:val="24"/>
          <w:lang w:eastAsia="en-US"/>
        </w:rPr>
      </w:pPr>
      <w:r>
        <w:rPr>
          <w:rFonts w:eastAsia="Calibri"/>
          <w:b/>
          <w:sz w:val="24"/>
          <w:szCs w:val="24"/>
          <w:lang w:eastAsia="en-US"/>
        </w:rPr>
      </w:r>
    </w:p>
    <w:p>
      <w:pPr>
        <w:pStyle w:val="Normal"/>
        <w:widowControl/>
        <w:rPr>
          <w:rFonts w:eastAsia="Calibri"/>
          <w:b/>
          <w:sz w:val="24"/>
          <w:szCs w:val="24"/>
          <w:lang w:eastAsia="en-US"/>
        </w:rPr>
      </w:pPr>
      <w:r>
        <w:rPr>
          <w:rFonts w:eastAsia="Calibri"/>
          <w:b/>
          <w:sz w:val="24"/>
          <w:szCs w:val="24"/>
          <w:lang w:eastAsia="en-US"/>
        </w:rPr>
      </w:r>
    </w:p>
    <w:p>
      <w:pPr>
        <w:pStyle w:val="Normal"/>
        <w:widowControl/>
        <w:rPr>
          <w:rFonts w:eastAsia="Calibri"/>
          <w:b/>
          <w:sz w:val="24"/>
          <w:szCs w:val="24"/>
          <w:lang w:eastAsia="en-US"/>
        </w:rPr>
      </w:pPr>
      <w:r>
        <w:rPr>
          <w:rFonts w:eastAsia="Calibri"/>
          <w:b/>
          <w:sz w:val="24"/>
          <w:szCs w:val="24"/>
          <w:lang w:eastAsia="en-US"/>
        </w:rPr>
      </w:r>
    </w:p>
    <w:p>
      <w:pPr>
        <w:pStyle w:val="Normal"/>
        <w:widowControl/>
        <w:rPr>
          <w:rFonts w:eastAsia="Calibri"/>
          <w:b/>
          <w:sz w:val="24"/>
          <w:szCs w:val="24"/>
          <w:lang w:eastAsia="en-US"/>
        </w:rPr>
      </w:pPr>
      <w:r>
        <w:rPr>
          <w:rFonts w:eastAsia="Calibri"/>
          <w:b/>
          <w:sz w:val="24"/>
          <w:szCs w:val="24"/>
          <w:lang w:eastAsia="en-US"/>
        </w:rPr>
      </w:r>
    </w:p>
    <w:p>
      <w:pPr>
        <w:pStyle w:val="Normal"/>
        <w:widowControl/>
        <w:rPr>
          <w:rFonts w:eastAsia="Calibri"/>
          <w:b/>
          <w:sz w:val="24"/>
          <w:szCs w:val="24"/>
          <w:lang w:eastAsia="en-US"/>
        </w:rPr>
      </w:pPr>
      <w:r>
        <w:rPr>
          <w:rFonts w:eastAsia="Calibri"/>
          <w:b/>
          <w:sz w:val="24"/>
          <w:szCs w:val="24"/>
          <w:lang w:eastAsia="en-US"/>
        </w:rPr>
      </w:r>
    </w:p>
    <w:p>
      <w:pPr>
        <w:pStyle w:val="Normal"/>
        <w:widowControl/>
        <w:rPr>
          <w:rFonts w:eastAsia="Calibri"/>
          <w:b/>
          <w:sz w:val="24"/>
          <w:szCs w:val="24"/>
          <w:lang w:eastAsia="en-US"/>
        </w:rPr>
      </w:pPr>
      <w:r>
        <w:rPr>
          <w:rFonts w:eastAsia="Calibri"/>
          <w:b/>
          <w:sz w:val="24"/>
          <w:szCs w:val="24"/>
          <w:lang w:eastAsia="en-US"/>
        </w:rPr>
      </w:r>
    </w:p>
    <w:p>
      <w:pPr>
        <w:pStyle w:val="Normal"/>
        <w:widowControl/>
        <w:rPr>
          <w:rFonts w:eastAsia="Calibri"/>
          <w:b/>
          <w:sz w:val="24"/>
          <w:szCs w:val="24"/>
          <w:lang w:eastAsia="en-US"/>
        </w:rPr>
      </w:pPr>
      <w:r>
        <w:rPr>
          <w:rFonts w:eastAsia="Calibri"/>
          <w:b/>
          <w:sz w:val="24"/>
          <w:szCs w:val="24"/>
          <w:lang w:eastAsia="en-US"/>
        </w:rPr>
      </w:r>
    </w:p>
    <w:p>
      <w:pPr>
        <w:pStyle w:val="Normal"/>
        <w:ind w:left="5103" w:hanging="0"/>
        <w:rPr>
          <w:sz w:val="22"/>
          <w:szCs w:val="22"/>
        </w:rPr>
      </w:pPr>
      <w:r>
        <w:rPr>
          <w:sz w:val="22"/>
          <w:szCs w:val="22"/>
        </w:rPr>
        <w:t>Приложение № 2</w:t>
      </w:r>
    </w:p>
    <w:p>
      <w:pPr>
        <w:pStyle w:val="Normal"/>
        <w:ind w:left="5103" w:hanging="0"/>
        <w:rPr>
          <w:sz w:val="22"/>
          <w:szCs w:val="22"/>
        </w:rPr>
      </w:pPr>
      <w:r>
        <w:rPr>
          <w:sz w:val="22"/>
          <w:szCs w:val="22"/>
        </w:rPr>
        <w:t xml:space="preserve">к Договору поставки </w:t>
      </w:r>
    </w:p>
    <w:p>
      <w:pPr>
        <w:pStyle w:val="Normal"/>
        <w:ind w:left="5103" w:hanging="0"/>
        <w:rPr>
          <w:sz w:val="22"/>
          <w:szCs w:val="22"/>
        </w:rPr>
      </w:pPr>
      <w:r>
        <w:rPr>
          <w:sz w:val="22"/>
          <w:szCs w:val="22"/>
        </w:rPr>
        <w:t xml:space="preserve">от «____» ________ 20 _ г. № </w:t>
      </w:r>
    </w:p>
    <w:p>
      <w:pPr>
        <w:pStyle w:val="Normal"/>
        <w:widowControl/>
        <w:ind w:firstLine="567"/>
        <w:jc w:val="center"/>
        <w:rPr>
          <w:rFonts w:eastAsia="Calibri"/>
          <w:b/>
          <w:sz w:val="24"/>
          <w:szCs w:val="24"/>
          <w:lang w:eastAsia="en-US"/>
        </w:rPr>
      </w:pPr>
      <w:r>
        <w:rPr>
          <w:rFonts w:eastAsia="Calibri"/>
          <w:b/>
          <w:sz w:val="24"/>
          <w:szCs w:val="24"/>
          <w:lang w:eastAsia="en-US"/>
        </w:rPr>
      </w:r>
    </w:p>
    <w:p>
      <w:pPr>
        <w:pStyle w:val="Normal"/>
        <w:widowControl/>
        <w:ind w:firstLine="567"/>
        <w:jc w:val="center"/>
        <w:rPr>
          <w:rFonts w:eastAsia="Calibri"/>
          <w:b/>
          <w:sz w:val="24"/>
          <w:szCs w:val="24"/>
          <w:lang w:eastAsia="en-US"/>
        </w:rPr>
      </w:pPr>
      <w:r>
        <w:rPr>
          <w:rFonts w:eastAsia="Calibri"/>
          <w:b/>
          <w:sz w:val="24"/>
          <w:szCs w:val="24"/>
          <w:lang w:eastAsia="en-US"/>
        </w:rPr>
      </w:r>
    </w:p>
    <w:p>
      <w:pPr>
        <w:pStyle w:val="Normal"/>
        <w:widowControl/>
        <w:jc w:val="center"/>
        <w:rPr>
          <w:rFonts w:eastAsia="Calibri"/>
          <w:b/>
          <w:sz w:val="24"/>
          <w:szCs w:val="24"/>
          <w:lang w:eastAsia="en-US"/>
        </w:rPr>
      </w:pPr>
      <w:r>
        <w:rPr>
          <w:rFonts w:eastAsia="Calibri"/>
          <w:b/>
          <w:sz w:val="24"/>
          <w:szCs w:val="24"/>
          <w:lang w:eastAsia="en-US"/>
        </w:rPr>
      </w:r>
    </w:p>
    <w:p>
      <w:pPr>
        <w:pStyle w:val="Normal"/>
        <w:widowControl/>
        <w:jc w:val="center"/>
        <w:rPr>
          <w:rFonts w:eastAsia="Calibri"/>
          <w:b/>
          <w:sz w:val="24"/>
          <w:szCs w:val="24"/>
          <w:lang w:eastAsia="en-US"/>
        </w:rPr>
      </w:pPr>
      <w:r>
        <w:rPr>
          <w:rFonts w:eastAsia="Calibri"/>
          <w:b/>
          <w:sz w:val="24"/>
          <w:szCs w:val="24"/>
          <w:lang w:eastAsia="en-US"/>
        </w:rPr>
      </w:r>
    </w:p>
    <w:p>
      <w:pPr>
        <w:pStyle w:val="Normal"/>
        <w:widowControl/>
        <w:jc w:val="center"/>
        <w:rPr>
          <w:rFonts w:eastAsia="Calibri"/>
          <w:b/>
          <w:sz w:val="24"/>
          <w:szCs w:val="24"/>
          <w:lang w:eastAsia="en-US"/>
        </w:rPr>
      </w:pPr>
      <w:r>
        <w:rPr>
          <w:rFonts w:eastAsia="Calibri"/>
          <w:b/>
          <w:sz w:val="24"/>
          <w:szCs w:val="24"/>
          <w:lang w:eastAsia="en-US"/>
        </w:rPr>
      </w:r>
    </w:p>
    <w:p>
      <w:pPr>
        <w:pStyle w:val="Normal"/>
        <w:widowControl/>
        <w:jc w:val="center"/>
        <w:rPr>
          <w:rFonts w:eastAsia="Calibri"/>
          <w:b/>
          <w:sz w:val="24"/>
          <w:szCs w:val="24"/>
          <w:lang w:eastAsia="en-US"/>
        </w:rPr>
      </w:pPr>
      <w:r>
        <w:rPr>
          <w:rFonts w:eastAsia="Calibri"/>
          <w:b/>
          <w:sz w:val="24"/>
          <w:szCs w:val="24"/>
          <w:lang w:eastAsia="en-US"/>
        </w:rPr>
        <w:t>ТЕХНИЧЕСКИЕ ТРЕБОВАНИЯ</w:t>
      </w:r>
    </w:p>
    <w:p>
      <w:pPr>
        <w:pStyle w:val="Normal"/>
        <w:widowControl/>
        <w:jc w:val="center"/>
        <w:rPr>
          <w:rFonts w:eastAsia="Calibri"/>
          <w:b/>
          <w:sz w:val="24"/>
          <w:szCs w:val="24"/>
          <w:lang w:eastAsia="en-US"/>
        </w:rPr>
      </w:pPr>
      <w:r>
        <w:rPr>
          <w:rFonts w:eastAsia="Calibri"/>
          <w:b/>
          <w:sz w:val="24"/>
          <w:szCs w:val="24"/>
          <w:lang w:eastAsia="en-US"/>
        </w:rPr>
      </w:r>
    </w:p>
    <w:p>
      <w:pPr>
        <w:pStyle w:val="Normal"/>
        <w:widowControl/>
        <w:jc w:val="center"/>
        <w:rPr>
          <w:rFonts w:eastAsia="Calibri"/>
          <w:b/>
          <w:sz w:val="24"/>
          <w:szCs w:val="24"/>
          <w:lang w:eastAsia="en-US"/>
        </w:rPr>
      </w:pPr>
      <w:r>
        <w:rPr>
          <w:rFonts w:eastAsia="Calibri"/>
          <w:b/>
          <w:sz w:val="24"/>
          <w:szCs w:val="24"/>
          <w:lang w:eastAsia="en-US"/>
        </w:rPr>
      </w:r>
    </w:p>
    <w:p>
      <w:pPr>
        <w:pStyle w:val="Normal"/>
        <w:widowControl/>
        <w:jc w:val="center"/>
        <w:rPr>
          <w:rFonts w:eastAsia="Calibri"/>
          <w:b/>
          <w:sz w:val="24"/>
          <w:szCs w:val="24"/>
          <w:lang w:eastAsia="en-US"/>
        </w:rPr>
      </w:pPr>
      <w:r>
        <w:rPr>
          <w:rFonts w:eastAsia="Calibri"/>
          <w:b/>
          <w:sz w:val="24"/>
          <w:szCs w:val="24"/>
          <w:lang w:eastAsia="en-US"/>
        </w:rPr>
      </w:r>
    </w:p>
    <w:p>
      <w:pPr>
        <w:pStyle w:val="Normal"/>
        <w:widowControl/>
        <w:jc w:val="center"/>
        <w:rPr>
          <w:rFonts w:eastAsia="Calibri"/>
          <w:b/>
          <w:sz w:val="24"/>
          <w:szCs w:val="24"/>
          <w:lang w:eastAsia="en-US"/>
        </w:rPr>
      </w:pPr>
      <w:r>
        <w:rPr>
          <w:rFonts w:eastAsia="Calibri"/>
          <w:b/>
          <w:sz w:val="24"/>
          <w:szCs w:val="24"/>
          <w:lang w:eastAsia="en-US"/>
        </w:rPr>
      </w:r>
    </w:p>
    <w:p>
      <w:pPr>
        <w:pStyle w:val="Normal"/>
        <w:widowControl/>
        <w:jc w:val="center"/>
        <w:rPr>
          <w:rFonts w:eastAsia="Calibri"/>
          <w:b/>
          <w:sz w:val="24"/>
          <w:szCs w:val="24"/>
          <w:lang w:eastAsia="en-US"/>
        </w:rPr>
      </w:pPr>
      <w:r>
        <w:rPr>
          <w:rFonts w:eastAsia="Calibri"/>
          <w:b/>
          <w:sz w:val="24"/>
          <w:szCs w:val="24"/>
          <w:lang w:eastAsia="en-US"/>
        </w:rPr>
      </w:r>
    </w:p>
    <w:p>
      <w:pPr>
        <w:pStyle w:val="Normal"/>
        <w:widowControl/>
        <w:jc w:val="center"/>
        <w:rPr>
          <w:rFonts w:eastAsia="Calibri"/>
          <w:b/>
          <w:sz w:val="24"/>
          <w:szCs w:val="24"/>
          <w:lang w:eastAsia="en-US"/>
        </w:rPr>
      </w:pPr>
      <w:r>
        <w:rPr>
          <w:rFonts w:eastAsia="Calibri"/>
          <w:b/>
          <w:sz w:val="24"/>
          <w:szCs w:val="24"/>
          <w:lang w:eastAsia="en-US"/>
        </w:rPr>
      </w:r>
    </w:p>
    <w:p>
      <w:pPr>
        <w:pStyle w:val="Normal"/>
        <w:widowControl/>
        <w:jc w:val="center"/>
        <w:rPr>
          <w:rFonts w:eastAsia="Calibri"/>
          <w:b/>
          <w:sz w:val="24"/>
          <w:szCs w:val="24"/>
          <w:lang w:eastAsia="en-US"/>
        </w:rPr>
      </w:pPr>
      <w:r>
        <w:rPr>
          <w:rFonts w:eastAsia="Calibri"/>
          <w:b/>
          <w:sz w:val="24"/>
          <w:szCs w:val="24"/>
          <w:lang w:eastAsia="en-US"/>
        </w:rPr>
      </w:r>
    </w:p>
    <w:p>
      <w:pPr>
        <w:pStyle w:val="Normal"/>
        <w:widowControl/>
        <w:jc w:val="center"/>
        <w:rPr>
          <w:rFonts w:eastAsia="Calibri"/>
          <w:b/>
          <w:sz w:val="24"/>
          <w:szCs w:val="24"/>
          <w:lang w:eastAsia="en-US"/>
        </w:rPr>
      </w:pPr>
      <w:r>
        <w:rPr>
          <w:rFonts w:eastAsia="Calibri"/>
          <w:b/>
          <w:sz w:val="24"/>
          <w:szCs w:val="24"/>
          <w:lang w:eastAsia="en-US"/>
        </w:rPr>
      </w:r>
    </w:p>
    <w:p>
      <w:pPr>
        <w:pStyle w:val="Normal"/>
        <w:widowControl/>
        <w:jc w:val="center"/>
        <w:rPr>
          <w:rFonts w:eastAsia="Calibri"/>
          <w:b/>
          <w:sz w:val="24"/>
          <w:szCs w:val="24"/>
          <w:lang w:eastAsia="en-US"/>
        </w:rPr>
      </w:pPr>
      <w:r>
        <w:rPr>
          <w:rFonts w:eastAsia="Calibri"/>
          <w:b/>
          <w:sz w:val="24"/>
          <w:szCs w:val="24"/>
          <w:lang w:eastAsia="en-US"/>
        </w:rPr>
      </w:r>
    </w:p>
    <w:p>
      <w:pPr>
        <w:pStyle w:val="Normal"/>
        <w:widowControl/>
        <w:jc w:val="center"/>
        <w:rPr>
          <w:rFonts w:eastAsia="Calibri"/>
          <w:b/>
          <w:sz w:val="24"/>
          <w:szCs w:val="24"/>
          <w:lang w:eastAsia="en-US"/>
        </w:rPr>
      </w:pPr>
      <w:r>
        <w:rPr>
          <w:rFonts w:eastAsia="Calibri"/>
          <w:b/>
          <w:sz w:val="24"/>
          <w:szCs w:val="24"/>
          <w:lang w:eastAsia="en-US"/>
        </w:rPr>
      </w:r>
    </w:p>
    <w:p>
      <w:pPr>
        <w:pStyle w:val="Normal"/>
        <w:widowControl/>
        <w:jc w:val="center"/>
        <w:rPr>
          <w:rFonts w:eastAsia="Calibri"/>
          <w:b/>
          <w:sz w:val="24"/>
          <w:szCs w:val="24"/>
          <w:lang w:eastAsia="en-US"/>
        </w:rPr>
      </w:pPr>
      <w:r>
        <w:rPr>
          <w:rFonts w:eastAsia="Calibri"/>
          <w:b/>
          <w:sz w:val="24"/>
          <w:szCs w:val="24"/>
          <w:lang w:eastAsia="en-US"/>
        </w:rPr>
      </w:r>
    </w:p>
    <w:p>
      <w:pPr>
        <w:pStyle w:val="Normal"/>
        <w:widowControl/>
        <w:jc w:val="center"/>
        <w:rPr>
          <w:rFonts w:eastAsia="Calibri"/>
          <w:b/>
          <w:sz w:val="24"/>
          <w:szCs w:val="24"/>
          <w:lang w:eastAsia="en-US"/>
        </w:rPr>
      </w:pPr>
      <w:r>
        <w:rPr>
          <w:rFonts w:eastAsia="Calibri"/>
          <w:b/>
          <w:sz w:val="24"/>
          <w:szCs w:val="24"/>
          <w:lang w:eastAsia="en-US"/>
        </w:rPr>
      </w:r>
    </w:p>
    <w:p>
      <w:pPr>
        <w:pStyle w:val="Normal"/>
        <w:widowControl/>
        <w:jc w:val="center"/>
        <w:rPr>
          <w:rFonts w:eastAsia="Calibri"/>
          <w:b/>
          <w:sz w:val="24"/>
          <w:szCs w:val="24"/>
          <w:lang w:eastAsia="en-US"/>
        </w:rPr>
      </w:pPr>
      <w:r>
        <w:rPr>
          <w:rFonts w:eastAsia="Calibri"/>
          <w:b/>
          <w:sz w:val="24"/>
          <w:szCs w:val="24"/>
          <w:lang w:eastAsia="en-US"/>
        </w:rPr>
      </w:r>
    </w:p>
    <w:p>
      <w:pPr>
        <w:pStyle w:val="Normal"/>
        <w:widowControl/>
        <w:jc w:val="center"/>
        <w:rPr>
          <w:rFonts w:eastAsia="Calibri"/>
          <w:b/>
          <w:sz w:val="24"/>
          <w:szCs w:val="24"/>
          <w:lang w:eastAsia="en-US"/>
        </w:rPr>
      </w:pPr>
      <w:r>
        <w:rPr>
          <w:rFonts w:eastAsia="Calibri"/>
          <w:b/>
          <w:sz w:val="24"/>
          <w:szCs w:val="24"/>
          <w:lang w:eastAsia="en-US"/>
        </w:rPr>
      </w:r>
    </w:p>
    <w:p>
      <w:pPr>
        <w:pStyle w:val="Normal"/>
        <w:widowControl/>
        <w:jc w:val="center"/>
        <w:rPr>
          <w:rFonts w:eastAsia="Calibri"/>
          <w:b/>
          <w:sz w:val="24"/>
          <w:szCs w:val="24"/>
          <w:lang w:eastAsia="en-US"/>
        </w:rPr>
      </w:pPr>
      <w:r>
        <w:rPr>
          <w:rFonts w:eastAsia="Calibri"/>
          <w:b/>
          <w:sz w:val="24"/>
          <w:szCs w:val="24"/>
          <w:lang w:eastAsia="en-US"/>
        </w:rPr>
      </w:r>
    </w:p>
    <w:p>
      <w:pPr>
        <w:pStyle w:val="Normal"/>
        <w:widowControl/>
        <w:jc w:val="center"/>
        <w:rPr>
          <w:rFonts w:eastAsia="Calibri"/>
          <w:b/>
          <w:sz w:val="24"/>
          <w:szCs w:val="24"/>
          <w:lang w:eastAsia="en-US"/>
        </w:rPr>
      </w:pPr>
      <w:r>
        <w:rPr>
          <w:rFonts w:eastAsia="Calibri"/>
          <w:b/>
          <w:sz w:val="24"/>
          <w:szCs w:val="24"/>
          <w:lang w:eastAsia="en-US"/>
        </w:rPr>
      </w:r>
    </w:p>
    <w:p>
      <w:pPr>
        <w:pStyle w:val="Normal"/>
        <w:widowControl/>
        <w:jc w:val="center"/>
        <w:rPr>
          <w:b/>
          <w:sz w:val="24"/>
          <w:szCs w:val="24"/>
        </w:rPr>
      </w:pPr>
      <w:r>
        <w:rPr>
          <w:b/>
          <w:sz w:val="24"/>
          <w:szCs w:val="24"/>
        </w:rPr>
      </w:r>
    </w:p>
    <w:p>
      <w:pPr>
        <w:pStyle w:val="Normal"/>
        <w:numPr>
          <w:ilvl w:val="0"/>
          <w:numId w:val="0"/>
        </w:numPr>
        <w:ind w:left="0" w:hanging="0"/>
        <w:jc w:val="center"/>
        <w:outlineLvl w:val="0"/>
        <w:rPr>
          <w:b/>
          <w:bCs/>
          <w:sz w:val="24"/>
          <w:szCs w:val="24"/>
        </w:rPr>
      </w:pPr>
      <w:r>
        <w:rPr>
          <w:b/>
          <w:bCs/>
          <w:sz w:val="24"/>
          <w:szCs w:val="24"/>
        </w:rPr>
        <w:t>ПОДПИСИ СТОРОН:</w:t>
      </w:r>
    </w:p>
    <w:p>
      <w:pPr>
        <w:pStyle w:val="Normal"/>
        <w:numPr>
          <w:ilvl w:val="0"/>
          <w:numId w:val="0"/>
        </w:numPr>
        <w:ind w:left="0" w:hanging="0"/>
        <w:jc w:val="center"/>
        <w:outlineLvl w:val="0"/>
        <w:rPr>
          <w:bCs/>
          <w:sz w:val="24"/>
          <w:szCs w:val="24"/>
        </w:rPr>
      </w:pPr>
      <w:r>
        <w:rPr>
          <w:bCs/>
          <w:sz w:val="24"/>
          <w:szCs w:val="24"/>
        </w:rPr>
      </w:r>
    </w:p>
    <w:tbl>
      <w:tblPr>
        <w:tblW w:w="9815" w:type="dxa"/>
        <w:jc w:val="left"/>
        <w:tblInd w:w="-68" w:type="dxa"/>
        <w:tblLayout w:type="fixed"/>
        <w:tblCellMar>
          <w:top w:w="0" w:type="dxa"/>
          <w:left w:w="108" w:type="dxa"/>
          <w:bottom w:w="0" w:type="dxa"/>
          <w:right w:w="108" w:type="dxa"/>
        </w:tblCellMar>
        <w:tblLook w:noVBand="1" w:val="04a0" w:noHBand="0" w:lastColumn="0" w:firstColumn="1" w:lastRow="0" w:firstRow="1"/>
      </w:tblPr>
      <w:tblGrid>
        <w:gridCol w:w="4995"/>
        <w:gridCol w:w="4819"/>
      </w:tblGrid>
      <w:tr>
        <w:trPr/>
        <w:tc>
          <w:tcPr>
            <w:tcW w:w="4995" w:type="dxa"/>
            <w:tcBorders/>
            <w:shd w:color="auto" w:fill="auto" w:val="clear"/>
          </w:tcPr>
          <w:p>
            <w:pPr>
              <w:pStyle w:val="Normal"/>
              <w:widowControl w:val="false"/>
              <w:rPr>
                <w:b/>
                <w:sz w:val="24"/>
                <w:szCs w:val="24"/>
              </w:rPr>
            </w:pPr>
            <w:r>
              <w:rPr>
                <w:b/>
                <w:sz w:val="24"/>
                <w:szCs w:val="24"/>
              </w:rPr>
              <w:t>Покупатель:</w:t>
            </w:r>
          </w:p>
          <w:p>
            <w:pPr>
              <w:pStyle w:val="Normal"/>
              <w:widowControl w:val="false"/>
              <w:rPr>
                <w:sz w:val="24"/>
                <w:szCs w:val="24"/>
              </w:rPr>
            </w:pPr>
            <w:r>
              <w:rPr>
                <w:sz w:val="24"/>
                <w:szCs w:val="24"/>
              </w:rPr>
            </w:r>
          </w:p>
          <w:p>
            <w:pPr>
              <w:pStyle w:val="Normal"/>
              <w:widowControl w:val="false"/>
              <w:rPr>
                <w:sz w:val="24"/>
                <w:szCs w:val="24"/>
              </w:rPr>
            </w:pPr>
            <w:r>
              <w:rPr>
                <w:sz w:val="24"/>
                <w:szCs w:val="24"/>
              </w:rPr>
              <w:t>_____________________/_____________</w:t>
            </w:r>
          </w:p>
          <w:p>
            <w:pPr>
              <w:pStyle w:val="Normal"/>
              <w:widowControl w:val="false"/>
              <w:rPr>
                <w:sz w:val="24"/>
                <w:szCs w:val="24"/>
              </w:rPr>
            </w:pPr>
            <w:r>
              <w:rPr>
                <w:sz w:val="24"/>
                <w:szCs w:val="24"/>
              </w:rPr>
            </w:r>
          </w:p>
        </w:tc>
        <w:tc>
          <w:tcPr>
            <w:tcW w:w="4819" w:type="dxa"/>
            <w:tcBorders/>
            <w:shd w:color="auto" w:fill="auto" w:val="clear"/>
          </w:tcPr>
          <w:p>
            <w:pPr>
              <w:pStyle w:val="Normal"/>
              <w:widowControl w:val="false"/>
              <w:rPr>
                <w:b/>
                <w:sz w:val="24"/>
                <w:szCs w:val="24"/>
              </w:rPr>
            </w:pPr>
            <w:r>
              <w:rPr>
                <w:b/>
                <w:sz w:val="24"/>
                <w:szCs w:val="24"/>
              </w:rPr>
              <w:t>Поставщик:</w:t>
            </w:r>
          </w:p>
          <w:p>
            <w:pPr>
              <w:pStyle w:val="Normal"/>
              <w:widowControl w:val="false"/>
              <w:rPr>
                <w:sz w:val="24"/>
                <w:szCs w:val="24"/>
              </w:rPr>
            </w:pPr>
            <w:r>
              <w:rPr>
                <w:sz w:val="24"/>
                <w:szCs w:val="24"/>
              </w:rPr>
            </w:r>
          </w:p>
          <w:p>
            <w:pPr>
              <w:pStyle w:val="Normal"/>
              <w:widowControl w:val="false"/>
              <w:rPr>
                <w:sz w:val="24"/>
                <w:szCs w:val="24"/>
              </w:rPr>
            </w:pPr>
            <w:r>
              <w:rPr>
                <w:sz w:val="24"/>
                <w:szCs w:val="24"/>
              </w:rPr>
              <w:t>_____________________/_____________</w:t>
            </w:r>
          </w:p>
          <w:p>
            <w:pPr>
              <w:pStyle w:val="Normal"/>
              <w:widowControl w:val="false"/>
              <w:ind w:firstLine="33"/>
              <w:rPr>
                <w:b/>
                <w:sz w:val="24"/>
                <w:szCs w:val="24"/>
              </w:rPr>
            </w:pPr>
            <w:r>
              <w:rPr>
                <w:b/>
                <w:sz w:val="24"/>
                <w:szCs w:val="24"/>
              </w:rPr>
            </w:r>
          </w:p>
        </w:tc>
      </w:tr>
    </w:tbl>
    <w:p>
      <w:pPr>
        <w:pStyle w:val="Normal"/>
        <w:numPr>
          <w:ilvl w:val="0"/>
          <w:numId w:val="0"/>
        </w:numPr>
        <w:ind w:left="0" w:hanging="0"/>
        <w:jc w:val="center"/>
        <w:outlineLvl w:val="0"/>
        <w:rPr>
          <w:bCs/>
          <w:sz w:val="24"/>
          <w:szCs w:val="24"/>
        </w:rPr>
      </w:pPr>
      <w:r>
        <w:rPr>
          <w:bCs/>
          <w:sz w:val="24"/>
          <w:szCs w:val="24"/>
        </w:rPr>
      </w:r>
      <w:r>
        <w:br w:type="page"/>
      </w:r>
    </w:p>
    <w:p>
      <w:pPr>
        <w:pStyle w:val="Normal"/>
        <w:ind w:firstLine="6237"/>
        <w:jc w:val="right"/>
        <w:rPr>
          <w:sz w:val="24"/>
          <w:szCs w:val="24"/>
        </w:rPr>
      </w:pPr>
      <w:r>
        <w:rPr>
          <w:sz w:val="24"/>
          <w:szCs w:val="24"/>
        </w:rPr>
        <w:t>Приложение № 3</w:t>
      </w:r>
    </w:p>
    <w:p>
      <w:pPr>
        <w:pStyle w:val="Normal"/>
        <w:ind w:firstLine="6237"/>
        <w:rPr>
          <w:sz w:val="24"/>
          <w:szCs w:val="24"/>
        </w:rPr>
      </w:pPr>
      <w:r>
        <w:rPr>
          <w:sz w:val="24"/>
          <w:szCs w:val="24"/>
        </w:rPr>
        <w:t>к Договору поставки</w:t>
      </w:r>
    </w:p>
    <w:p>
      <w:pPr>
        <w:pStyle w:val="Normal"/>
        <w:ind w:firstLine="6237"/>
        <w:rPr>
          <w:bCs/>
          <w:sz w:val="24"/>
          <w:szCs w:val="24"/>
        </w:rPr>
      </w:pPr>
      <w:r>
        <w:rPr>
          <w:sz w:val="24"/>
          <w:szCs w:val="24"/>
        </w:rPr>
        <w:t xml:space="preserve">от «____» ________20 _ г. № </w:t>
      </w:r>
    </w:p>
    <w:p>
      <w:pPr>
        <w:pStyle w:val="Normal"/>
        <w:widowControl/>
        <w:shd w:val="clear" w:color="auto" w:fill="FFFFFF"/>
        <w:tabs>
          <w:tab w:val="clear" w:pos="709"/>
          <w:tab w:val="left" w:pos="1418" w:leader="none"/>
        </w:tabs>
        <w:spacing w:before="0" w:after="0"/>
        <w:ind w:firstLine="6237"/>
        <w:contextualSpacing/>
        <w:jc w:val="center"/>
        <w:rPr>
          <w:bCs/>
          <w:sz w:val="24"/>
          <w:szCs w:val="24"/>
        </w:rPr>
      </w:pPr>
      <w:r>
        <w:rPr>
          <w:bCs/>
          <w:sz w:val="24"/>
          <w:szCs w:val="24"/>
        </w:rPr>
      </w:r>
    </w:p>
    <w:p>
      <w:pPr>
        <w:pStyle w:val="Normal"/>
        <w:widowControl/>
        <w:rPr>
          <w:rFonts w:eastAsia="Calibri"/>
          <w:sz w:val="24"/>
          <w:szCs w:val="24"/>
          <w:lang w:eastAsia="en-US"/>
        </w:rPr>
      </w:pPr>
      <w:r>
        <w:rPr>
          <w:rFonts w:eastAsia="Calibri"/>
          <w:sz w:val="24"/>
          <w:szCs w:val="24"/>
          <w:lang w:eastAsia="en-US"/>
        </w:rPr>
      </w:r>
    </w:p>
    <w:p>
      <w:pPr>
        <w:pStyle w:val="Normal"/>
        <w:jc w:val="center"/>
        <w:rPr>
          <w:b/>
          <w:bCs/>
          <w:sz w:val="24"/>
          <w:szCs w:val="24"/>
        </w:rPr>
      </w:pPr>
      <w:r>
        <w:rPr>
          <w:b/>
          <w:bCs/>
          <w:sz w:val="24"/>
          <w:szCs w:val="24"/>
        </w:rPr>
        <w:t>Размер ответственности Поставщика за нарушения</w:t>
      </w:r>
    </w:p>
    <w:p>
      <w:pPr>
        <w:pStyle w:val="Normal"/>
        <w:jc w:val="center"/>
        <w:rPr>
          <w:b/>
          <w:bCs/>
          <w:sz w:val="24"/>
          <w:szCs w:val="24"/>
        </w:rPr>
      </w:pPr>
      <w:r>
        <w:rPr>
          <w:b/>
          <w:bCs/>
          <w:sz w:val="24"/>
          <w:szCs w:val="24"/>
        </w:rPr>
        <w:t>пропускного и внутриобъектового режима, требований охраны труда,</w:t>
      </w:r>
    </w:p>
    <w:p>
      <w:pPr>
        <w:pStyle w:val="Normal"/>
        <w:jc w:val="center"/>
        <w:rPr>
          <w:b/>
          <w:sz w:val="24"/>
          <w:szCs w:val="24"/>
        </w:rPr>
      </w:pPr>
      <w:r>
        <w:rPr>
          <w:b/>
          <w:bCs/>
          <w:sz w:val="24"/>
          <w:szCs w:val="24"/>
        </w:rPr>
        <w:t>пожарной и промышленной безопасности</w:t>
      </w:r>
    </w:p>
    <w:p>
      <w:pPr>
        <w:pStyle w:val="Normal"/>
        <w:rPr>
          <w:b/>
          <w:sz w:val="24"/>
          <w:szCs w:val="24"/>
        </w:rPr>
      </w:pPr>
      <w:r>
        <w:rPr>
          <w:b/>
          <w:sz w:val="24"/>
          <w:szCs w:val="24"/>
        </w:rPr>
      </w:r>
    </w:p>
    <w:tbl>
      <w:tblPr>
        <w:tblW w:w="5000" w:type="pct"/>
        <w:jc w:val="left"/>
        <w:tblInd w:w="113" w:type="dxa"/>
        <w:tblLayout w:type="fixed"/>
        <w:tblCellMar>
          <w:top w:w="0" w:type="dxa"/>
          <w:left w:w="108" w:type="dxa"/>
          <w:bottom w:w="0" w:type="dxa"/>
          <w:right w:w="108" w:type="dxa"/>
        </w:tblCellMar>
        <w:tblLook w:noVBand="0" w:val="01e0" w:noHBand="0" w:lastColumn="1" w:firstColumn="1" w:lastRow="1" w:firstRow="1"/>
      </w:tblPr>
      <w:tblGrid>
        <w:gridCol w:w="3670"/>
        <w:gridCol w:w="5966"/>
      </w:tblGrid>
      <w:tr>
        <w:trPr/>
        <w:tc>
          <w:tcPr>
            <w:tcW w:w="3670" w:type="dxa"/>
            <w:tcBorders>
              <w:top w:val="single" w:sz="4" w:space="0" w:color="000000"/>
              <w:left w:val="single" w:sz="4" w:space="0" w:color="000000"/>
              <w:bottom w:val="single" w:sz="4" w:space="0" w:color="000000"/>
              <w:right w:val="single" w:sz="4" w:space="0" w:color="000000"/>
            </w:tcBorders>
          </w:tcPr>
          <w:p>
            <w:pPr>
              <w:pStyle w:val="Normal"/>
              <w:widowControl w:val="false"/>
              <w:rPr>
                <w:b/>
                <w:sz w:val="24"/>
                <w:szCs w:val="24"/>
              </w:rPr>
            </w:pPr>
            <w:r>
              <w:rPr>
                <w:b/>
                <w:sz w:val="24"/>
                <w:szCs w:val="24"/>
              </w:rPr>
              <w:t>Виды нарушений</w:t>
            </w:r>
          </w:p>
        </w:tc>
        <w:tc>
          <w:tcPr>
            <w:tcW w:w="5966" w:type="dxa"/>
            <w:tcBorders>
              <w:top w:val="single" w:sz="4" w:space="0" w:color="000000"/>
              <w:left w:val="single" w:sz="4" w:space="0" w:color="000000"/>
              <w:bottom w:val="single" w:sz="4" w:space="0" w:color="000000"/>
              <w:right w:val="single" w:sz="4" w:space="0" w:color="000000"/>
            </w:tcBorders>
          </w:tcPr>
          <w:p>
            <w:pPr>
              <w:pStyle w:val="Normal"/>
              <w:widowControl w:val="false"/>
              <w:rPr>
                <w:b/>
                <w:sz w:val="24"/>
                <w:szCs w:val="24"/>
              </w:rPr>
            </w:pPr>
            <w:r>
              <w:rPr>
                <w:b/>
                <w:sz w:val="24"/>
                <w:szCs w:val="24"/>
              </w:rPr>
              <w:t>Штрафные санкции</w:t>
            </w:r>
          </w:p>
        </w:tc>
      </w:tr>
      <w:tr>
        <w:trPr/>
        <w:tc>
          <w:tcPr>
            <w:tcW w:w="3670" w:type="dxa"/>
            <w:tcBorders>
              <w:top w:val="single" w:sz="4" w:space="0" w:color="000000"/>
              <w:left w:val="single" w:sz="4" w:space="0" w:color="000000"/>
              <w:bottom w:val="single" w:sz="4" w:space="0" w:color="000000"/>
              <w:right w:val="single" w:sz="4" w:space="0" w:color="000000"/>
            </w:tcBorders>
          </w:tcPr>
          <w:p>
            <w:pPr>
              <w:pStyle w:val="Normal"/>
              <w:widowControl w:val="false"/>
              <w:rPr>
                <w:sz w:val="24"/>
                <w:szCs w:val="24"/>
              </w:rPr>
            </w:pPr>
            <w:r>
              <w:rPr>
                <w:sz w:val="24"/>
                <w:szCs w:val="24"/>
              </w:rPr>
              <w:t>1. Нарушение правил пожарной безопасности (ППБ):</w:t>
            </w:r>
          </w:p>
        </w:tc>
        <w:tc>
          <w:tcPr>
            <w:tcW w:w="5966" w:type="dxa"/>
            <w:tcBorders>
              <w:top w:val="single" w:sz="4" w:space="0" w:color="000000"/>
              <w:left w:val="single" w:sz="4" w:space="0" w:color="000000"/>
              <w:bottom w:val="single" w:sz="4" w:space="0" w:color="000000"/>
              <w:right w:val="single" w:sz="4" w:space="0" w:color="000000"/>
            </w:tcBorders>
          </w:tcPr>
          <w:p>
            <w:pPr>
              <w:pStyle w:val="Normal"/>
              <w:widowControl w:val="false"/>
              <w:rPr>
                <w:sz w:val="24"/>
                <w:szCs w:val="24"/>
              </w:rPr>
            </w:pPr>
            <w:r>
              <w:rPr>
                <w:sz w:val="24"/>
                <w:szCs w:val="24"/>
              </w:rPr>
            </w:r>
          </w:p>
        </w:tc>
      </w:tr>
      <w:tr>
        <w:trPr/>
        <w:tc>
          <w:tcPr>
            <w:tcW w:w="3670" w:type="dxa"/>
            <w:tcBorders>
              <w:top w:val="single" w:sz="4" w:space="0" w:color="000000"/>
              <w:left w:val="single" w:sz="4" w:space="0" w:color="000000"/>
              <w:bottom w:val="single" w:sz="4" w:space="0" w:color="000000"/>
              <w:right w:val="single" w:sz="4" w:space="0" w:color="000000"/>
            </w:tcBorders>
          </w:tcPr>
          <w:p>
            <w:pPr>
              <w:pStyle w:val="Normal"/>
              <w:widowControl w:val="false"/>
              <w:rPr>
                <w:sz w:val="24"/>
                <w:szCs w:val="24"/>
              </w:rPr>
            </w:pPr>
            <w:r>
              <w:rPr>
                <w:sz w:val="24"/>
                <w:szCs w:val="24"/>
              </w:rPr>
              <w:t>1.1. Нарушение ППБ без возникновения пожара</w:t>
            </w:r>
          </w:p>
          <w:p>
            <w:pPr>
              <w:pStyle w:val="Normal"/>
              <w:widowControl w:val="false"/>
              <w:rPr>
                <w:b/>
                <w:sz w:val="24"/>
                <w:szCs w:val="24"/>
              </w:rPr>
            </w:pPr>
            <w:r>
              <w:rPr>
                <w:b/>
                <w:sz w:val="24"/>
                <w:szCs w:val="24"/>
              </w:rPr>
            </w:r>
          </w:p>
        </w:tc>
        <w:tc>
          <w:tcPr>
            <w:tcW w:w="5966"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sz w:val="24"/>
                <w:szCs w:val="24"/>
              </w:rPr>
            </w:pPr>
            <w:r>
              <w:rPr>
                <w:sz w:val="24"/>
                <w:szCs w:val="24"/>
              </w:rPr>
              <w:t>25 000 (двадцать пять тысяч) рублей за каждый случай нарушения.</w:t>
            </w:r>
          </w:p>
          <w:p>
            <w:pPr>
              <w:pStyle w:val="Normal"/>
              <w:widowControl w:val="false"/>
              <w:jc w:val="both"/>
              <w:rPr>
                <w:sz w:val="24"/>
                <w:szCs w:val="24"/>
              </w:rPr>
            </w:pPr>
            <w:r>
              <w:rPr>
                <w:sz w:val="24"/>
                <w:szCs w:val="24"/>
              </w:rPr>
              <w:t>Сумма штрафа, установленная настоящим пунктом, увеличивается на 50 (пятьдесят) процентов по отношению к предыдущему случаю за каждое следующее нарушение.</w:t>
            </w:r>
          </w:p>
        </w:tc>
      </w:tr>
      <w:tr>
        <w:trPr/>
        <w:tc>
          <w:tcPr>
            <w:tcW w:w="3670" w:type="dxa"/>
            <w:tcBorders>
              <w:top w:val="single" w:sz="4" w:space="0" w:color="000000"/>
              <w:left w:val="single" w:sz="4" w:space="0" w:color="000000"/>
              <w:bottom w:val="single" w:sz="4" w:space="0" w:color="000000"/>
              <w:right w:val="single" w:sz="4" w:space="0" w:color="000000"/>
            </w:tcBorders>
          </w:tcPr>
          <w:p>
            <w:pPr>
              <w:pStyle w:val="Normal"/>
              <w:widowControl w:val="false"/>
              <w:rPr>
                <w:sz w:val="24"/>
                <w:szCs w:val="24"/>
              </w:rPr>
            </w:pPr>
            <w:r>
              <w:rPr>
                <w:sz w:val="24"/>
                <w:szCs w:val="24"/>
              </w:rPr>
              <w:t>1.2. Нарушение ППБ, ставшее причиной возникновения пожара, не причинившего ущерб имуществу Покупателя</w:t>
            </w:r>
          </w:p>
        </w:tc>
        <w:tc>
          <w:tcPr>
            <w:tcW w:w="5966"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sz w:val="24"/>
                <w:szCs w:val="24"/>
              </w:rPr>
            </w:pPr>
            <w:r>
              <w:rPr>
                <w:sz w:val="24"/>
                <w:szCs w:val="24"/>
              </w:rPr>
              <w:t>50 000 (пятьдесят тысяч) рублей за каждый случай нарушения.</w:t>
            </w:r>
          </w:p>
          <w:p>
            <w:pPr>
              <w:pStyle w:val="Normal"/>
              <w:widowControl w:val="false"/>
              <w:jc w:val="both"/>
              <w:rPr>
                <w:sz w:val="24"/>
                <w:szCs w:val="24"/>
              </w:rPr>
            </w:pPr>
            <w:r>
              <w:rPr>
                <w:sz w:val="24"/>
                <w:szCs w:val="24"/>
              </w:rPr>
              <w:t>Сумма штрафа, установленная настоящим пунктом, увеличивается на 100 (сто) процентов по отношению к предыдущему случаю за каждое следующее нарушение.</w:t>
            </w:r>
          </w:p>
        </w:tc>
      </w:tr>
      <w:tr>
        <w:trPr/>
        <w:tc>
          <w:tcPr>
            <w:tcW w:w="3670" w:type="dxa"/>
            <w:tcBorders>
              <w:top w:val="single" w:sz="4" w:space="0" w:color="000000"/>
              <w:left w:val="single" w:sz="4" w:space="0" w:color="000000"/>
              <w:bottom w:val="single" w:sz="4" w:space="0" w:color="000000"/>
              <w:right w:val="single" w:sz="4" w:space="0" w:color="000000"/>
            </w:tcBorders>
          </w:tcPr>
          <w:p>
            <w:pPr>
              <w:pStyle w:val="Normal"/>
              <w:widowControl w:val="false"/>
              <w:rPr>
                <w:sz w:val="24"/>
                <w:szCs w:val="24"/>
              </w:rPr>
            </w:pPr>
            <w:r>
              <w:rPr>
                <w:sz w:val="24"/>
                <w:szCs w:val="24"/>
              </w:rPr>
              <w:t>1.3. Нарушение ППБ, ставшее причиной возникновения пожара, причинившего ущерб имуществу Покупателя.</w:t>
            </w:r>
          </w:p>
        </w:tc>
        <w:tc>
          <w:tcPr>
            <w:tcW w:w="5966"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sz w:val="24"/>
                <w:szCs w:val="24"/>
              </w:rPr>
            </w:pPr>
            <w:r>
              <w:rPr>
                <w:sz w:val="24"/>
                <w:szCs w:val="24"/>
              </w:rPr>
              <w:t>250 000 (двести пятьдесят тысяч) рублей за каждый случай нарушения.</w:t>
            </w:r>
          </w:p>
        </w:tc>
      </w:tr>
      <w:tr>
        <w:trPr/>
        <w:tc>
          <w:tcPr>
            <w:tcW w:w="3670" w:type="dxa"/>
            <w:tcBorders>
              <w:top w:val="single" w:sz="4" w:space="0" w:color="000000"/>
              <w:left w:val="single" w:sz="4" w:space="0" w:color="000000"/>
              <w:bottom w:val="single" w:sz="4" w:space="0" w:color="000000"/>
              <w:right w:val="single" w:sz="4" w:space="0" w:color="000000"/>
            </w:tcBorders>
          </w:tcPr>
          <w:p>
            <w:pPr>
              <w:pStyle w:val="Normal"/>
              <w:widowControl w:val="false"/>
              <w:rPr>
                <w:sz w:val="24"/>
                <w:szCs w:val="24"/>
              </w:rPr>
            </w:pPr>
            <w:r>
              <w:rPr>
                <w:sz w:val="24"/>
                <w:szCs w:val="24"/>
              </w:rPr>
              <w:t>2.</w:t>
            </w:r>
            <w:r>
              <w:rPr>
                <w:b/>
                <w:sz w:val="24"/>
                <w:szCs w:val="24"/>
              </w:rPr>
              <w:t xml:space="preserve"> </w:t>
            </w:r>
            <w:r>
              <w:rPr>
                <w:sz w:val="24"/>
                <w:szCs w:val="24"/>
              </w:rPr>
              <w:t>Нарушение пропускного и внутриобъектового режима, требований охраны труда, промышленной безопасности, охраны окружающей среды, санитарно-эпидемиологических правил и норм.</w:t>
            </w:r>
          </w:p>
        </w:tc>
        <w:tc>
          <w:tcPr>
            <w:tcW w:w="5966"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sz w:val="24"/>
                <w:szCs w:val="24"/>
              </w:rPr>
            </w:pPr>
            <w:r>
              <w:rPr>
                <w:sz w:val="24"/>
                <w:szCs w:val="24"/>
              </w:rPr>
              <w:t>- 50 000 (пятьдесят тысяч) рублей за каждый случай нарушения;</w:t>
            </w:r>
          </w:p>
          <w:p>
            <w:pPr>
              <w:pStyle w:val="Normal"/>
              <w:widowControl w:val="false"/>
              <w:jc w:val="both"/>
              <w:rPr>
                <w:sz w:val="24"/>
                <w:szCs w:val="24"/>
              </w:rPr>
            </w:pPr>
            <w:r>
              <w:rPr>
                <w:sz w:val="24"/>
                <w:szCs w:val="24"/>
              </w:rPr>
              <w:t>- 500 (пятьсот) рублей в случае утраты или приведения в негодность электронного пропуска, выданного Покупателем.</w:t>
            </w:r>
          </w:p>
          <w:p>
            <w:pPr>
              <w:pStyle w:val="Normal"/>
              <w:widowControl w:val="false"/>
              <w:jc w:val="both"/>
              <w:rPr>
                <w:sz w:val="24"/>
                <w:szCs w:val="24"/>
              </w:rPr>
            </w:pPr>
            <w:r>
              <w:rPr>
                <w:sz w:val="24"/>
                <w:szCs w:val="24"/>
              </w:rPr>
              <w:t>Сумма штрафа, установленная настоящим пунктом, увеличивается на 100 (сто) процентов по отношению к предыдущему случаю за каждое следующее нарушение.</w:t>
            </w:r>
          </w:p>
        </w:tc>
      </w:tr>
    </w:tbl>
    <w:p>
      <w:pPr>
        <w:pStyle w:val="Normal"/>
        <w:rPr>
          <w:sz w:val="24"/>
          <w:szCs w:val="24"/>
        </w:rPr>
      </w:pPr>
      <w:r>
        <w:rPr>
          <w:sz w:val="24"/>
          <w:szCs w:val="24"/>
        </w:rPr>
      </w:r>
    </w:p>
    <w:p>
      <w:pPr>
        <w:pStyle w:val="Normal"/>
        <w:rPr>
          <w:sz w:val="24"/>
          <w:szCs w:val="24"/>
        </w:rPr>
      </w:pPr>
      <w:r>
        <w:rPr>
          <w:sz w:val="24"/>
          <w:szCs w:val="24"/>
        </w:rPr>
      </w:r>
    </w:p>
    <w:p>
      <w:pPr>
        <w:pStyle w:val="Normal"/>
        <w:numPr>
          <w:ilvl w:val="0"/>
          <w:numId w:val="0"/>
        </w:numPr>
        <w:ind w:left="0" w:hanging="0"/>
        <w:jc w:val="center"/>
        <w:outlineLvl w:val="0"/>
        <w:rPr>
          <w:b/>
          <w:bCs/>
          <w:sz w:val="24"/>
          <w:szCs w:val="24"/>
        </w:rPr>
      </w:pPr>
      <w:r>
        <w:rPr>
          <w:b/>
          <w:bCs/>
          <w:sz w:val="24"/>
          <w:szCs w:val="24"/>
        </w:rPr>
        <w:t>ПОДПИСИ СТОРОН:</w:t>
      </w:r>
    </w:p>
    <w:p>
      <w:pPr>
        <w:pStyle w:val="Normal"/>
        <w:numPr>
          <w:ilvl w:val="0"/>
          <w:numId w:val="0"/>
        </w:numPr>
        <w:ind w:left="0" w:hanging="0"/>
        <w:jc w:val="center"/>
        <w:outlineLvl w:val="0"/>
        <w:rPr>
          <w:bCs/>
          <w:sz w:val="24"/>
          <w:szCs w:val="24"/>
        </w:rPr>
      </w:pPr>
      <w:r>
        <w:rPr>
          <w:bCs/>
          <w:sz w:val="24"/>
          <w:szCs w:val="24"/>
        </w:rPr>
      </w:r>
    </w:p>
    <w:tbl>
      <w:tblPr>
        <w:tblW w:w="9815" w:type="dxa"/>
        <w:jc w:val="left"/>
        <w:tblInd w:w="-68" w:type="dxa"/>
        <w:tblLayout w:type="fixed"/>
        <w:tblCellMar>
          <w:top w:w="0" w:type="dxa"/>
          <w:left w:w="108" w:type="dxa"/>
          <w:bottom w:w="0" w:type="dxa"/>
          <w:right w:w="108" w:type="dxa"/>
        </w:tblCellMar>
        <w:tblLook w:noVBand="1" w:val="04a0" w:noHBand="0" w:lastColumn="0" w:firstColumn="1" w:lastRow="0" w:firstRow="1"/>
      </w:tblPr>
      <w:tblGrid>
        <w:gridCol w:w="4995"/>
        <w:gridCol w:w="4819"/>
      </w:tblGrid>
      <w:tr>
        <w:trPr/>
        <w:tc>
          <w:tcPr>
            <w:tcW w:w="4995" w:type="dxa"/>
            <w:tcBorders/>
            <w:shd w:color="auto" w:fill="auto" w:val="clear"/>
          </w:tcPr>
          <w:p>
            <w:pPr>
              <w:pStyle w:val="Normal"/>
              <w:widowControl w:val="false"/>
              <w:rPr>
                <w:b/>
                <w:sz w:val="24"/>
                <w:szCs w:val="24"/>
              </w:rPr>
            </w:pPr>
            <w:r>
              <w:rPr>
                <w:b/>
                <w:sz w:val="24"/>
                <w:szCs w:val="24"/>
              </w:rPr>
              <w:t>Покупатель:</w:t>
            </w:r>
          </w:p>
          <w:p>
            <w:pPr>
              <w:pStyle w:val="Normal"/>
              <w:widowControl w:val="false"/>
              <w:rPr>
                <w:sz w:val="24"/>
                <w:szCs w:val="24"/>
              </w:rPr>
            </w:pPr>
            <w:r>
              <w:rPr>
                <w:sz w:val="24"/>
                <w:szCs w:val="24"/>
              </w:rPr>
            </w:r>
          </w:p>
          <w:p>
            <w:pPr>
              <w:pStyle w:val="Normal"/>
              <w:widowControl w:val="false"/>
              <w:rPr>
                <w:sz w:val="24"/>
                <w:szCs w:val="24"/>
              </w:rPr>
            </w:pPr>
            <w:r>
              <w:rPr>
                <w:sz w:val="24"/>
                <w:szCs w:val="24"/>
              </w:rPr>
              <w:t>_____________________/_____________</w:t>
            </w:r>
          </w:p>
          <w:p>
            <w:pPr>
              <w:pStyle w:val="Normal"/>
              <w:widowControl w:val="false"/>
              <w:rPr>
                <w:sz w:val="24"/>
                <w:szCs w:val="24"/>
              </w:rPr>
            </w:pPr>
            <w:r>
              <w:rPr>
                <w:sz w:val="24"/>
                <w:szCs w:val="24"/>
              </w:rPr>
            </w:r>
          </w:p>
        </w:tc>
        <w:tc>
          <w:tcPr>
            <w:tcW w:w="4819" w:type="dxa"/>
            <w:tcBorders/>
            <w:shd w:color="auto" w:fill="auto" w:val="clear"/>
          </w:tcPr>
          <w:p>
            <w:pPr>
              <w:pStyle w:val="Normal"/>
              <w:widowControl w:val="false"/>
              <w:ind w:firstLine="34"/>
              <w:rPr>
                <w:b/>
                <w:sz w:val="24"/>
                <w:szCs w:val="24"/>
              </w:rPr>
            </w:pPr>
            <w:r>
              <w:rPr>
                <w:b/>
                <w:sz w:val="24"/>
                <w:szCs w:val="24"/>
              </w:rPr>
              <w:t>Поставщик:</w:t>
            </w:r>
          </w:p>
          <w:p>
            <w:pPr>
              <w:pStyle w:val="Normal"/>
              <w:widowControl w:val="false"/>
              <w:rPr>
                <w:sz w:val="24"/>
                <w:szCs w:val="24"/>
              </w:rPr>
            </w:pPr>
            <w:r>
              <w:rPr>
                <w:sz w:val="24"/>
                <w:szCs w:val="24"/>
              </w:rPr>
            </w:r>
          </w:p>
          <w:p>
            <w:pPr>
              <w:pStyle w:val="Normal"/>
              <w:widowControl w:val="false"/>
              <w:rPr>
                <w:sz w:val="24"/>
                <w:szCs w:val="24"/>
              </w:rPr>
            </w:pPr>
            <w:r>
              <w:rPr>
                <w:sz w:val="24"/>
                <w:szCs w:val="24"/>
              </w:rPr>
              <w:t>_____________________/_____________</w:t>
            </w:r>
          </w:p>
          <w:p>
            <w:pPr>
              <w:pStyle w:val="Normal"/>
              <w:widowControl w:val="false"/>
              <w:ind w:firstLine="33"/>
              <w:rPr>
                <w:b/>
                <w:sz w:val="24"/>
                <w:szCs w:val="24"/>
              </w:rPr>
            </w:pPr>
            <w:r>
              <w:rPr>
                <w:b/>
                <w:sz w:val="24"/>
                <w:szCs w:val="24"/>
              </w:rPr>
            </w:r>
          </w:p>
        </w:tc>
      </w:tr>
    </w:tbl>
    <w:p>
      <w:pPr>
        <w:pStyle w:val="Normal"/>
        <w:rPr>
          <w:b/>
          <w:bCs/>
          <w:sz w:val="24"/>
          <w:szCs w:val="24"/>
        </w:rPr>
      </w:pPr>
      <w:r>
        <w:rPr>
          <w:b/>
          <w:bCs/>
          <w:sz w:val="24"/>
          <w:szCs w:val="24"/>
        </w:rPr>
      </w:r>
    </w:p>
    <w:p>
      <w:pPr>
        <w:pStyle w:val="Normal"/>
        <w:rPr/>
      </w:pPr>
      <w:r>
        <w:rPr/>
      </w:r>
    </w:p>
    <w:p>
      <w:pPr>
        <w:pStyle w:val="Normal"/>
        <w:rPr/>
      </w:pPr>
      <w:r>
        <w:rPr/>
      </w:r>
    </w:p>
    <w:p>
      <w:pPr>
        <w:pStyle w:val="Normal"/>
        <w:rPr/>
      </w:pPr>
      <w:r>
        <w:rPr/>
      </w:r>
    </w:p>
    <w:p>
      <w:pPr>
        <w:pStyle w:val="Normal"/>
        <w:rPr/>
      </w:pPr>
      <w:r>
        <w:rPr/>
      </w:r>
    </w:p>
    <w:sectPr>
      <w:headerReference w:type="default" r:id="rId10"/>
      <w:headerReference w:type="first" r:id="rId11"/>
      <w:footerReference w:type="default" r:id="rId12"/>
      <w:footerReference w:type="first" r:id="rId13"/>
      <w:footnotePr>
        <w:numFmt w:val="decimal"/>
      </w:footnotePr>
      <w:type w:val="nextPage"/>
      <w:pgSz w:w="11906" w:h="16838"/>
      <w:pgMar w:left="1418" w:right="851" w:gutter="0" w:header="709" w:top="1134" w:footer="709" w:bottom="1134"/>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Calibri">
    <w:charset w:val="01"/>
    <w:family w:val="roman"/>
    <w:pitch w:val="variable"/>
  </w:font>
  <w:font w:name="Times New Roman">
    <w:charset w:val="01"/>
    <w:family w:val="roman"/>
    <w:pitch w:val="variable"/>
  </w:font>
  <w:font w:name="Arial">
    <w:charset w:val="01"/>
    <w:family w:val="roman"/>
    <w:pitch w:val="variable"/>
  </w:font>
  <w:font w:name="Cambria">
    <w:charset w:val="01"/>
    <w:family w:val="roman"/>
    <w:pitch w:val="variable"/>
  </w:font>
  <w:font w:name="Tahoma">
    <w:charset w:val="01"/>
    <w:family w:val="roman"/>
    <w:pitch w:val="variable"/>
  </w:font>
  <w:font w:name="Liberation Sans">
    <w:altName w:val="Arial"/>
    <w:charset w:val="01"/>
    <w:family w:val="roman"/>
    <w:pitch w:val="variable"/>
  </w:font>
  <w:font w:name="Courier New">
    <w:charset w:val="01"/>
    <w:family w:val="roman"/>
    <w:pitch w:val="variable"/>
  </w:font>
  <w:font w:name="Verdana">
    <w:charset w:val="01"/>
    <w:family w:val="roman"/>
    <w:pitch w:val="variable"/>
  </w:font>
  <w:font w:name="Garamond">
    <w:charset w:val="01"/>
    <w:family w:val="roman"/>
    <w:pitch w:val="variable"/>
  </w:font>
  <w:font w:name="Arial Unicode MS">
    <w:charset w:val="01"/>
    <w:family w:val="roman"/>
    <w:pitch w:val="variable"/>
  </w:font>
  <w:font w:name="Symbol">
    <w:charset w:val="02"/>
    <w:family w:val="auto"/>
    <w:pitch w:val="default"/>
  </w:font>
  <w:font w:name="Courier New">
    <w:charset w:val="01"/>
    <w:family w:val="modern"/>
    <w:pitch w:val="fixed"/>
  </w:font>
  <w:font w:name="Wingdings">
    <w:charset w:val="02"/>
    <w:family w:val="auto"/>
    <w:pitch w:val="default"/>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jc w:val="right"/>
      <w:rPr/>
    </w:pPr>
    <w:r>
      <w:rPr/>
      <w:fldChar w:fldCharType="begin"/>
    </w:r>
    <w:r>
      <w:rPr/>
      <w:instrText xml:space="preserve"> PAGE </w:instrText>
    </w:r>
    <w:r>
      <w:rPr/>
      <w:fldChar w:fldCharType="separate"/>
    </w:r>
    <w:r>
      <w:rPr/>
      <w:t>17</w:t>
    </w:r>
    <w:r>
      <w:rPr/>
      <w:fldChar w:fldCharType="end"/>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jc w:val="right"/>
      <w:rPr>
        <w:sz w:val="22"/>
        <w:szCs w:val="22"/>
      </w:rPr>
    </w:pPr>
    <w:r>
      <w:rPr>
        <w:sz w:val="22"/>
        <w:szCs w:val="22"/>
      </w:rPr>
      <w:fldChar w:fldCharType="begin"/>
    </w:r>
    <w:r>
      <w:rPr>
        <w:sz w:val="22"/>
        <w:szCs w:val="22"/>
      </w:rPr>
      <w:instrText xml:space="preserve"> PAGE </w:instrText>
    </w:r>
    <w:r>
      <w:rPr>
        <w:sz w:val="22"/>
        <w:szCs w:val="22"/>
      </w:rPr>
      <w:fldChar w:fldCharType="separate"/>
    </w:r>
    <w:r>
      <w:rPr>
        <w:sz w:val="22"/>
        <w:szCs w:val="22"/>
      </w:rPr>
      <w:t>21</w:t>
    </w:r>
    <w:r>
      <w:rPr>
        <w:sz w:val="22"/>
        <w:szCs w:val="22"/>
      </w:rPr>
      <w:fldChar w:fldCharType="end"/>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notes.xml><?xml version="1.0" encoding="utf-8"?>
<w:footnotes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footnote w:id="0" w:type="separator">
    <w:p>
      <w:pPr>
        <w:rPr>
          <w:sz w:val="12"/>
        </w:rPr>
      </w:pPr>
      <w:r>
        <w:separator/>
      </w:r>
    </w:p>
  </w:footnote>
  <w:footnote w:id="1" w:type="continuationSeparator">
    <w:p>
      <w:pPr>
        <w:rPr>
          <w:sz w:val="12"/>
        </w:rPr>
      </w:pPr>
      <w:r>
        <w:continuationSeparator/>
      </w:r>
    </w:p>
  </w:footnote>
  <w:footnote w:id="2">
    <w:p>
      <w:pPr>
        <w:pStyle w:val="FootnoteText"/>
        <w:widowControl w:val="false"/>
        <w:jc w:val="both"/>
        <w:rPr/>
      </w:pPr>
      <w:r>
        <w:rPr>
          <w:rStyle w:val="Style9"/>
        </w:rPr>
        <w:footnoteRef/>
      </w:r>
      <w:r>
        <w:rPr/>
        <w:t xml:space="preserve"> </w:t>
      </w:r>
      <w:r>
        <w:rPr/>
        <w:t>В соответствии с Общероссийским классификатором стран мира (утв. Постановлением Госстандарта России от 14.12.2001 N 529-ст.).</w:t>
      </w:r>
    </w:p>
  </w:footnote>
  <w:footnote w:id="3">
    <w:p>
      <w:pPr>
        <w:pStyle w:val="FootnoteText"/>
        <w:widowControl w:val="false"/>
        <w:jc w:val="both"/>
        <w:rPr/>
      </w:pPr>
      <w:r>
        <w:rPr>
          <w:rStyle w:val="Style9"/>
        </w:rPr>
        <w:footnoteRef/>
      </w:r>
      <w:r>
        <w:rPr/>
        <w:t xml:space="preserve"> </w:t>
      </w:r>
      <w:r>
        <w:rPr>
          <w:bCs/>
        </w:rPr>
        <w:t>Порядковый номер (номера) реестровой записи (реестровых записей), под которой (которыми) Оборудование включено в реестры, предусмотренные пунктом 3 Постановления Правительства РФ от</w:t>
      </w:r>
      <w:r>
        <w:rPr>
          <w:bCs/>
          <w:lang w:val="en-US"/>
        </w:rPr>
        <w:t xml:space="preserve"> </w:t>
      </w:r>
      <w:bookmarkStart w:id="11" w:name="_GoBack_Копия_1_Копия_1_Копия_1_Копия_1_"/>
      <w:bookmarkEnd w:id="11"/>
      <w:r>
        <w:rPr>
          <w:bCs/>
        </w:rPr>
        <w:t>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либо иным нормативно-правовым актом, устанавливающим защитные меры в соответствии с законодательством о Национальном режиме.</w:t>
      </w:r>
    </w:p>
  </w:footnote>
</w:footnote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tabs>
        <w:tab w:val="clear" w:pos="709"/>
        <w:tab w:val="left" w:pos="1875" w:leader="none"/>
        <w:tab w:val="right" w:pos="8306" w:leader="none"/>
      </w:tabs>
      <w:jc w:val="right"/>
      <w:rPr/>
    </w:pPr>
    <w:r>
      <w:rPr/>
      <w:t xml:space="preserve">                                                                                                                                                </w:t>
    </w:r>
    <w:r>
      <w:rPr/>
      <w:t>ТФД № 2.2.2.</w:t>
      <w:tab/>
      <w:tab/>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jc w:val="right"/>
      <w:rPr/>
    </w:pPr>
    <w:r>
      <w:rPr/>
      <w:t>ТФД № 2.2.2.</w:t>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4.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none"/>
      <w:suff w:val="nothing"/>
      <w:lvlText w:val=""/>
      <w:lvlJc w:val="left"/>
      <w:pPr>
        <w:tabs>
          <w:tab w:val="num" w:pos="0"/>
        </w:tabs>
        <w:ind w:left="0" w:hanging="0"/>
      </w:pPr>
      <w:rPr/>
    </w:lvl>
    <w:lvl w:ilvl="1">
      <w:start w:val="1"/>
      <w:numFmt w:val="none"/>
      <w:suff w:val="nothing"/>
      <w:lvlText w:val=""/>
      <w:lvlJc w:val="left"/>
      <w:pPr>
        <w:tabs>
          <w:tab w:val="num" w:pos="0"/>
        </w:tabs>
        <w:ind w:left="0" w:hanging="0"/>
      </w:pPr>
      <w:rPr/>
    </w:lvl>
    <w:lvl w:ilvl="2">
      <w:start w:val="1"/>
      <w:numFmt w:val="none"/>
      <w:suff w:val="nothing"/>
      <w:lvlText w:val=""/>
      <w:lvlJc w:val="left"/>
      <w:pPr>
        <w:tabs>
          <w:tab w:val="num" w:pos="0"/>
        </w:tabs>
        <w:ind w:left="0" w:hanging="0"/>
      </w:pPr>
      <w:rPr/>
    </w:lvl>
    <w:lvl w:ilvl="3">
      <w:start w:val="1"/>
      <w:numFmt w:val="none"/>
      <w:suff w:val="nothing"/>
      <w:lvlText w:val=""/>
      <w:lvlJc w:val="left"/>
      <w:pPr>
        <w:tabs>
          <w:tab w:val="num" w:pos="0"/>
        </w:tabs>
        <w:ind w:left="0" w:hanging="0"/>
      </w:pPr>
      <w:rPr/>
    </w:lvl>
    <w:lvl w:ilvl="4">
      <w:start w:val="1"/>
      <w:numFmt w:val="none"/>
      <w:suff w:val="nothing"/>
      <w:lvlText w:val=""/>
      <w:lvlJc w:val="left"/>
      <w:pPr>
        <w:tabs>
          <w:tab w:val="num" w:pos="0"/>
        </w:tabs>
        <w:ind w:left="0" w:hanging="0"/>
      </w:pPr>
      <w:rPr/>
    </w:lvl>
    <w:lvl w:ilvl="5">
      <w:start w:val="1"/>
      <w:numFmt w:val="none"/>
      <w:suff w:val="nothing"/>
      <w:lvlText w:val=""/>
      <w:lvlJc w:val="left"/>
      <w:pPr>
        <w:tabs>
          <w:tab w:val="num" w:pos="0"/>
        </w:tabs>
        <w:ind w:left="0" w:hanging="0"/>
      </w:pPr>
      <w:rPr/>
    </w:lvl>
    <w:lvl w:ilvl="6">
      <w:start w:val="1"/>
      <w:numFmt w:val="none"/>
      <w:suff w:val="nothing"/>
      <w:lvlText w:val=""/>
      <w:lvlJc w:val="left"/>
      <w:pPr>
        <w:tabs>
          <w:tab w:val="num" w:pos="0"/>
        </w:tabs>
        <w:ind w:left="0" w:hanging="0"/>
      </w:pPr>
      <w:rPr/>
    </w:lvl>
    <w:lvl w:ilvl="7">
      <w:start w:val="1"/>
      <w:numFmt w:val="none"/>
      <w:suff w:val="nothing"/>
      <w:lvlText w:val=""/>
      <w:lvlJc w:val="left"/>
      <w:pPr>
        <w:tabs>
          <w:tab w:val="num" w:pos="0"/>
        </w:tabs>
        <w:ind w:left="0" w:hanging="0"/>
      </w:pPr>
      <w:rPr/>
    </w:lvl>
    <w:lvl w:ilvl="8">
      <w:start w:val="1"/>
      <w:numFmt w:val="none"/>
      <w:suff w:val="nothing"/>
      <w:lvlText w:val=""/>
      <w:lvlJc w:val="left"/>
      <w:pPr>
        <w:tabs>
          <w:tab w:val="num" w:pos="0"/>
        </w:tabs>
        <w:ind w:left="0" w:hanging="0"/>
      </w:pPr>
      <w:rPr/>
    </w:lvl>
  </w:abstractNum>
  <w:abstractNum w:abstractNumId="2">
    <w:lvl w:ilvl="0">
      <w:start w:val="1"/>
      <w:numFmt w:val="decimal"/>
      <w:lvlText w:val="%1."/>
      <w:lvlJc w:val="left"/>
      <w:pPr>
        <w:tabs>
          <w:tab w:val="num" w:pos="360"/>
        </w:tabs>
        <w:ind w:left="360" w:hanging="360"/>
      </w:pPr>
      <w:rPr/>
    </w:lvl>
    <w:lvl w:ilvl="1">
      <w:start w:val="1"/>
      <w:numFmt w:val="decimal"/>
      <w:lvlText w:val="%1.%2."/>
      <w:lvlJc w:val="left"/>
      <w:pPr>
        <w:tabs>
          <w:tab w:val="num" w:pos="1283"/>
        </w:tabs>
        <w:ind w:left="1283" w:hanging="432"/>
      </w:pPr>
      <w:rPr>
        <w:sz w:val="24"/>
        <w:b w:val="false"/>
        <w:szCs w:val="24"/>
      </w:rPr>
    </w:lvl>
    <w:lvl w:ilvl="2">
      <w:start w:val="1"/>
      <w:numFmt w:val="decimal"/>
      <w:lvlText w:val="%1.%2.%3."/>
      <w:lvlJc w:val="left"/>
      <w:pPr>
        <w:tabs>
          <w:tab w:val="num" w:pos="1855"/>
        </w:tabs>
        <w:ind w:left="1639" w:hanging="504"/>
      </w:pPr>
      <w:rPr>
        <w:b w:val="false"/>
      </w:rPr>
    </w:lvl>
    <w:lvl w:ilvl="3">
      <w:start w:val="1"/>
      <w:numFmt w:val="decimal"/>
      <w:lvlText w:val="%1.%2.%3.%4."/>
      <w:lvlJc w:val="left"/>
      <w:pPr>
        <w:tabs>
          <w:tab w:val="num" w:pos="2160"/>
        </w:tabs>
        <w:ind w:left="1728" w:hanging="648"/>
      </w:pPr>
      <w:rPr/>
    </w:lvl>
    <w:lvl w:ilvl="4">
      <w:start w:val="1"/>
      <w:numFmt w:val="decimal"/>
      <w:lvlText w:val="%1.%2.%3.%4.%5."/>
      <w:lvlJc w:val="left"/>
      <w:pPr>
        <w:tabs>
          <w:tab w:val="num" w:pos="2520"/>
        </w:tabs>
        <w:ind w:left="2232" w:hanging="792"/>
      </w:pPr>
      <w:rPr/>
    </w:lvl>
    <w:lvl w:ilvl="5">
      <w:start w:val="1"/>
      <w:numFmt w:val="decimal"/>
      <w:lvlText w:val="%1.%2.%3.%4.%5.%6."/>
      <w:lvlJc w:val="left"/>
      <w:pPr>
        <w:tabs>
          <w:tab w:val="num" w:pos="3240"/>
        </w:tabs>
        <w:ind w:left="2736" w:hanging="936"/>
      </w:pPr>
      <w:rPr/>
    </w:lvl>
    <w:lvl w:ilvl="6">
      <w:start w:val="1"/>
      <w:numFmt w:val="decimal"/>
      <w:lvlText w:val="%1.%2.%3.%4.%5.%6.%7."/>
      <w:lvlJc w:val="left"/>
      <w:pPr>
        <w:tabs>
          <w:tab w:val="num" w:pos="3960"/>
        </w:tabs>
        <w:ind w:left="3240" w:hanging="1080"/>
      </w:pPr>
      <w:rPr/>
    </w:lvl>
    <w:lvl w:ilvl="7">
      <w:start w:val="1"/>
      <w:numFmt w:val="decimal"/>
      <w:lvlText w:val="%1.%2.%3.%4.%5.%6.%7.%8."/>
      <w:lvlJc w:val="left"/>
      <w:pPr>
        <w:tabs>
          <w:tab w:val="num" w:pos="4320"/>
        </w:tabs>
        <w:ind w:left="3744" w:hanging="1224"/>
      </w:pPr>
      <w:rPr/>
    </w:lvl>
    <w:lvl w:ilvl="8">
      <w:start w:val="1"/>
      <w:numFmt w:val="decimal"/>
      <w:lvlText w:val="%1.%2.%3.%4.%5.%6.%7.%8.%9."/>
      <w:lvlJc w:val="left"/>
      <w:pPr>
        <w:tabs>
          <w:tab w:val="num" w:pos="5040"/>
        </w:tabs>
        <w:ind w:left="4320" w:hanging="1440"/>
      </w:pPr>
      <w:rPr/>
    </w:lvl>
  </w:abstractNum>
  <w:abstractNum w:abstractNumId="3">
    <w:lvl w:ilvl="0">
      <w:start w:val="1"/>
      <w:numFmt w:val="bullet"/>
      <w:lvlText w:val=""/>
      <w:lvlJc w:val="left"/>
      <w:pPr>
        <w:tabs>
          <w:tab w:val="num" w:pos="1353"/>
        </w:tabs>
        <w:ind w:left="1353"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4">
    <w:lvl w:ilvl="0">
      <w:start w:val="1"/>
      <w:numFmt w:val="bullet"/>
      <w:lvlText w:val=""/>
      <w:lvlJc w:val="left"/>
      <w:pPr>
        <w:tabs>
          <w:tab w:val="num" w:pos="1778"/>
        </w:tabs>
        <w:ind w:left="1778" w:hanging="360"/>
      </w:pPr>
      <w:rPr>
        <w:rFonts w:ascii="Symbol" w:hAnsi="Symbol" w:cs="Symbol" w:hint="default"/>
      </w:rPr>
    </w:lvl>
    <w:lvl w:ilvl="1">
      <w:start w:val="1"/>
      <w:numFmt w:val="bullet"/>
      <w:lvlText w:val="o"/>
      <w:lvlJc w:val="left"/>
      <w:pPr>
        <w:tabs>
          <w:tab w:val="num" w:pos="2498"/>
        </w:tabs>
        <w:ind w:left="2498" w:hanging="360"/>
      </w:pPr>
      <w:rPr>
        <w:rFonts w:ascii="Courier New" w:hAnsi="Courier New" w:cs="Courier New" w:hint="default"/>
      </w:rPr>
    </w:lvl>
    <w:lvl w:ilvl="2">
      <w:start w:val="1"/>
      <w:numFmt w:val="bullet"/>
      <w:lvlText w:val=""/>
      <w:lvlJc w:val="left"/>
      <w:pPr>
        <w:tabs>
          <w:tab w:val="num" w:pos="3218"/>
        </w:tabs>
        <w:ind w:left="3218" w:hanging="360"/>
      </w:pPr>
      <w:rPr>
        <w:rFonts w:ascii="Wingdings" w:hAnsi="Wingdings" w:cs="Wingdings" w:hint="default"/>
      </w:rPr>
    </w:lvl>
    <w:lvl w:ilvl="3">
      <w:start w:val="1"/>
      <w:numFmt w:val="bullet"/>
      <w:lvlText w:val=""/>
      <w:lvlJc w:val="left"/>
      <w:pPr>
        <w:tabs>
          <w:tab w:val="num" w:pos="3938"/>
        </w:tabs>
        <w:ind w:left="3938" w:hanging="360"/>
      </w:pPr>
      <w:rPr>
        <w:rFonts w:ascii="Symbol" w:hAnsi="Symbol" w:cs="Symbol" w:hint="default"/>
      </w:rPr>
    </w:lvl>
    <w:lvl w:ilvl="4">
      <w:start w:val="1"/>
      <w:numFmt w:val="bullet"/>
      <w:lvlText w:val="o"/>
      <w:lvlJc w:val="left"/>
      <w:pPr>
        <w:tabs>
          <w:tab w:val="num" w:pos="4658"/>
        </w:tabs>
        <w:ind w:left="4658" w:hanging="360"/>
      </w:pPr>
      <w:rPr>
        <w:rFonts w:ascii="Courier New" w:hAnsi="Courier New" w:cs="Courier New" w:hint="default"/>
      </w:rPr>
    </w:lvl>
    <w:lvl w:ilvl="5">
      <w:start w:val="1"/>
      <w:numFmt w:val="bullet"/>
      <w:lvlText w:val=""/>
      <w:lvlJc w:val="left"/>
      <w:pPr>
        <w:tabs>
          <w:tab w:val="num" w:pos="5378"/>
        </w:tabs>
        <w:ind w:left="5378" w:hanging="360"/>
      </w:pPr>
      <w:rPr>
        <w:rFonts w:ascii="Wingdings" w:hAnsi="Wingdings" w:cs="Wingdings" w:hint="default"/>
      </w:rPr>
    </w:lvl>
    <w:lvl w:ilvl="6">
      <w:start w:val="1"/>
      <w:numFmt w:val="bullet"/>
      <w:lvlText w:val=""/>
      <w:lvlJc w:val="left"/>
      <w:pPr>
        <w:tabs>
          <w:tab w:val="num" w:pos="6098"/>
        </w:tabs>
        <w:ind w:left="6098" w:hanging="360"/>
      </w:pPr>
      <w:rPr>
        <w:rFonts w:ascii="Symbol" w:hAnsi="Symbol" w:cs="Symbol" w:hint="default"/>
      </w:rPr>
    </w:lvl>
    <w:lvl w:ilvl="7">
      <w:start w:val="1"/>
      <w:numFmt w:val="bullet"/>
      <w:lvlText w:val="o"/>
      <w:lvlJc w:val="left"/>
      <w:pPr>
        <w:tabs>
          <w:tab w:val="num" w:pos="6818"/>
        </w:tabs>
        <w:ind w:left="6818" w:hanging="360"/>
      </w:pPr>
      <w:rPr>
        <w:rFonts w:ascii="Courier New" w:hAnsi="Courier New" w:cs="Courier New" w:hint="default"/>
      </w:rPr>
    </w:lvl>
    <w:lvl w:ilvl="8">
      <w:start w:val="1"/>
      <w:numFmt w:val="bullet"/>
      <w:lvlText w:val=""/>
      <w:lvlJc w:val="left"/>
      <w:pPr>
        <w:tabs>
          <w:tab w:val="num" w:pos="7538"/>
        </w:tabs>
        <w:ind w:left="7538" w:hanging="360"/>
      </w:pPr>
      <w:rPr>
        <w:rFonts w:ascii="Wingdings" w:hAnsi="Wingdings" w:cs="Wingdings" w:hint="default"/>
      </w:rPr>
    </w:lvl>
  </w:abstractNum>
  <w:abstractNum w:abstractNumId="5">
    <w:lvl w:ilvl="0">
      <w:start w:val="1"/>
      <w:numFmt w:val="bullet"/>
      <w:lvlText w:val=""/>
      <w:lvlJc w:val="left"/>
      <w:pPr>
        <w:tabs>
          <w:tab w:val="num" w:pos="0"/>
        </w:tabs>
        <w:ind w:left="1287" w:hanging="360"/>
      </w:pPr>
      <w:rPr>
        <w:rFonts w:ascii="Symbol" w:hAnsi="Symbol" w:cs="Symbol" w:hint="default"/>
      </w:rPr>
    </w:lvl>
    <w:lvl w:ilvl="1">
      <w:start w:val="1"/>
      <w:numFmt w:val="bullet"/>
      <w:lvlText w:val="o"/>
      <w:lvlJc w:val="left"/>
      <w:pPr>
        <w:tabs>
          <w:tab w:val="num" w:pos="0"/>
        </w:tabs>
        <w:ind w:left="2007" w:hanging="360"/>
      </w:pPr>
      <w:rPr>
        <w:rFonts w:ascii="Courier New" w:hAnsi="Courier New" w:cs="Courier New" w:hint="default"/>
      </w:rPr>
    </w:lvl>
    <w:lvl w:ilvl="2">
      <w:start w:val="1"/>
      <w:numFmt w:val="bullet"/>
      <w:lvlText w:val=""/>
      <w:lvlJc w:val="left"/>
      <w:pPr>
        <w:tabs>
          <w:tab w:val="num" w:pos="0"/>
        </w:tabs>
        <w:ind w:left="2727" w:hanging="360"/>
      </w:pPr>
      <w:rPr>
        <w:rFonts w:ascii="Wingdings" w:hAnsi="Wingdings" w:cs="Wingdings" w:hint="default"/>
      </w:rPr>
    </w:lvl>
    <w:lvl w:ilvl="3">
      <w:start w:val="1"/>
      <w:numFmt w:val="bullet"/>
      <w:lvlText w:val=""/>
      <w:lvlJc w:val="left"/>
      <w:pPr>
        <w:tabs>
          <w:tab w:val="num" w:pos="0"/>
        </w:tabs>
        <w:ind w:left="3447" w:hanging="360"/>
      </w:pPr>
      <w:rPr>
        <w:rFonts w:ascii="Symbol" w:hAnsi="Symbol" w:cs="Symbol" w:hint="default"/>
      </w:rPr>
    </w:lvl>
    <w:lvl w:ilvl="4">
      <w:start w:val="1"/>
      <w:numFmt w:val="bullet"/>
      <w:lvlText w:val="o"/>
      <w:lvlJc w:val="left"/>
      <w:pPr>
        <w:tabs>
          <w:tab w:val="num" w:pos="0"/>
        </w:tabs>
        <w:ind w:left="4167" w:hanging="360"/>
      </w:pPr>
      <w:rPr>
        <w:rFonts w:ascii="Courier New" w:hAnsi="Courier New" w:cs="Courier New" w:hint="default"/>
      </w:rPr>
    </w:lvl>
    <w:lvl w:ilvl="5">
      <w:start w:val="1"/>
      <w:numFmt w:val="bullet"/>
      <w:lvlText w:val=""/>
      <w:lvlJc w:val="left"/>
      <w:pPr>
        <w:tabs>
          <w:tab w:val="num" w:pos="0"/>
        </w:tabs>
        <w:ind w:left="4887" w:hanging="360"/>
      </w:pPr>
      <w:rPr>
        <w:rFonts w:ascii="Wingdings" w:hAnsi="Wingdings" w:cs="Wingdings" w:hint="default"/>
      </w:rPr>
    </w:lvl>
    <w:lvl w:ilvl="6">
      <w:start w:val="1"/>
      <w:numFmt w:val="bullet"/>
      <w:lvlText w:val=""/>
      <w:lvlJc w:val="left"/>
      <w:pPr>
        <w:tabs>
          <w:tab w:val="num" w:pos="0"/>
        </w:tabs>
        <w:ind w:left="5607" w:hanging="360"/>
      </w:pPr>
      <w:rPr>
        <w:rFonts w:ascii="Symbol" w:hAnsi="Symbol" w:cs="Symbol" w:hint="default"/>
      </w:rPr>
    </w:lvl>
    <w:lvl w:ilvl="7">
      <w:start w:val="1"/>
      <w:numFmt w:val="bullet"/>
      <w:lvlText w:val="o"/>
      <w:lvlJc w:val="left"/>
      <w:pPr>
        <w:tabs>
          <w:tab w:val="num" w:pos="0"/>
        </w:tabs>
        <w:ind w:left="6327" w:hanging="360"/>
      </w:pPr>
      <w:rPr>
        <w:rFonts w:ascii="Courier New" w:hAnsi="Courier New" w:cs="Courier New" w:hint="default"/>
      </w:rPr>
    </w:lvl>
    <w:lvl w:ilvl="8">
      <w:start w:val="1"/>
      <w:numFmt w:val="bullet"/>
      <w:lvlText w:val=""/>
      <w:lvlJc w:val="left"/>
      <w:pPr>
        <w:tabs>
          <w:tab w:val="num" w:pos="0"/>
        </w:tabs>
        <w:ind w:left="7047" w:hanging="360"/>
      </w:pPr>
      <w:rPr>
        <w:rFonts w:ascii="Wingdings" w:hAnsi="Wingdings" w:cs="Wingdings" w:hint="default"/>
      </w:rPr>
    </w:lvl>
  </w:abstractNum>
  <w:abstractNum w:abstractNumId="6">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7">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9">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10">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bering>
</file>

<file path=word/settings.xml><?xml version="1.0" encoding="utf-8"?>
<w:settings xmlns:w="http://schemas.openxmlformats.org/wordprocessingml/2006/main">
  <w:writeProtection w:cryptProviderType="rsaAES" w:cryptAlgorithmClass="hash" w:cryptAlgorithmType="typeAny" w:cryptAlgorithmSid="14" w:cryptSpinCount="100000" w:hash="/x3ht8/8/58GBX2BspNftvSAVVhWziNu86dOW1lB0swCszNIP9Zpq2dm2LAfXkzFFcMImVH7/ztalQtjZ4jtWg==" w:salt="kK7/NiHk0qaIGj8aLTJbiA=="/>
  <w:zoom w:percent="99"/>
  <w:defaultTabStop w:val="709"/>
  <w:autoHyphenation w:val="true"/>
  <w:footnotePr>
    <w:numFmt w:val="decimal"/>
    <w:footnote w:id="0"/>
    <w:footnote w:id="1"/>
  </w:footnotePr>
  <w:compat>
    <w:compatSetting w:name="compatibilityMode" w:uri="http://schemas.microsoft.com/office/word" w:val="12"/>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2"/>
        <w:szCs w:val="22"/>
        <w:lang w:val="ru-RU" w:eastAsia="en-US" w:bidi="ar-SA"/>
      </w:rPr>
    </w:rPrDefault>
    <w:pPrDefault>
      <w:pPr>
        <w:suppressAutoHyphens w:val="true"/>
      </w:pPr>
    </w:pPrDefault>
  </w:docDefaults>
  <w:latentStyles w:defLockedState="0" w:defUIPriority="99" w:defSemiHidden="0" w:defUnhideWhenUsed="0" w:defQFormat="0" w:count="375">
    <w:lsdException w:name="Normal" w:uiPriority="0" w:qFormat="1"/>
    <w:lsdException w:name="heading 1" w:uiPriority="0" w:qFormat="1"/>
    <w:lsdException w:name="heading 2" w:uiPriority="9" w:semiHidden="1" w:unhideWhenUsed="1" w:qFormat="1"/>
    <w:lsdException w:name="heading 3" w:uiPriority="0"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uiPriority="0" w:semiHidden="1" w:unhideWhenUsed="1"/>
    <w:lsdException w:name="header" w:uiPriority="0"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uiPriority="0" w:semiHidden="1" w:unhideWhenUsed="1"/>
    <w:lsdException w:name="annotation reference" w:uiPriority="0" w:semiHidden="1" w:unhideWhenUsed="1"/>
    <w:lsdException w:name="line number" w:semiHidden="1" w:unhideWhenUsed="1"/>
    <w:lsdException w:name="page number" w:uiPriority="0"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uiPriority="0"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semiHidden="1" w:unhideWhenUsed="1"/>
    <w:lsdException w:name="Body Text 3" w:uiPriority="0" w:semiHidden="1" w:unhideWhenUsed="1"/>
    <w:lsdException w:name="Body Text Indent 2" w:uiPriority="0" w:semiHidden="1" w:unhideWhenUsed="1"/>
    <w:lsdException w:name="Body Text Indent 3" w:semiHidden="1" w:unhideWhenUsed="1"/>
    <w:lsdException w:name="Block Text" w:semiHidden="1" w:unhideWhenUsed="1"/>
    <w:lsdException w:name="Hyperlink" w:uiPriority="0" w:semiHidden="1" w:unhideWhenUsed="1"/>
    <w:lsdException w:name="FollowedHyperlink" w:semiHidden="1" w:unhideWhenUsed="1"/>
    <w:lsdException w:name="Strong" w:uiPriority="22" w:qFormat="1"/>
    <w:lsdException w:name="Emphasis" w:uiPriority="20" w:qFormat="1"/>
    <w:lsdException w:name="Document Map" w:uiPriority="0"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0"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styleId="Normal" w:default="1">
    <w:name w:val="Normal"/>
    <w:qFormat/>
    <w:rsid w:val="00886f70"/>
    <w:pPr>
      <w:widowControl w:val="false"/>
      <w:suppressAutoHyphens w:val="true"/>
      <w:bidi w:val="0"/>
      <w:spacing w:before="0" w:after="0"/>
      <w:jc w:val="left"/>
    </w:pPr>
    <w:rPr>
      <w:rFonts w:ascii="Times New Roman" w:hAnsi="Times New Roman" w:eastAsia="Times New Roman" w:cs="Times New Roman"/>
      <w:color w:val="auto"/>
      <w:kern w:val="0"/>
      <w:sz w:val="20"/>
      <w:szCs w:val="20"/>
      <w:lang w:val="ru-RU" w:eastAsia="ru-RU" w:bidi="ar-SA"/>
    </w:rPr>
  </w:style>
  <w:style w:type="paragraph" w:styleId="Heading1">
    <w:name w:val="Heading 1"/>
    <w:basedOn w:val="Normal"/>
    <w:next w:val="Normal"/>
    <w:link w:val="1"/>
    <w:qFormat/>
    <w:rsid w:val="00886f70"/>
    <w:pPr>
      <w:keepNext w:val="true"/>
      <w:spacing w:before="240" w:after="60"/>
      <w:outlineLvl w:val="0"/>
    </w:pPr>
    <w:rPr>
      <w:rFonts w:ascii="Arial" w:hAnsi="Arial" w:cs="Arial"/>
      <w:b/>
      <w:bCs/>
      <w:kern w:val="2"/>
      <w:sz w:val="32"/>
      <w:szCs w:val="32"/>
    </w:rPr>
  </w:style>
  <w:style w:type="paragraph" w:styleId="Heading2">
    <w:name w:val="Heading 2"/>
    <w:basedOn w:val="Heading4"/>
    <w:next w:val="Normal"/>
    <w:qFormat/>
    <w:pPr>
      <w:numPr>
        <w:ilvl w:val="0"/>
        <w:numId w:val="0"/>
      </w:numPr>
      <w:ind w:left="432" w:right="0" w:hanging="0"/>
      <w:outlineLvl w:val="1"/>
    </w:pPr>
    <w:rPr/>
  </w:style>
  <w:style w:type="paragraph" w:styleId="Heading3">
    <w:name w:val="Heading 3"/>
    <w:basedOn w:val="Normal"/>
    <w:next w:val="Normal"/>
    <w:link w:val="3"/>
    <w:qFormat/>
    <w:rsid w:val="00886f70"/>
    <w:pPr>
      <w:keepNext w:val="true"/>
      <w:keepLines/>
      <w:spacing w:before="200" w:after="0"/>
      <w:outlineLvl w:val="2"/>
    </w:pPr>
    <w:rPr>
      <w:rFonts w:ascii="Cambria" w:hAnsi="Cambria"/>
      <w:b/>
      <w:bCs/>
      <w:color w:val="4F81BD"/>
      <w:lang w:val="x-none" w:eastAsia="x-none"/>
    </w:rPr>
  </w:style>
  <w:style w:type="paragraph" w:styleId="Heading4">
    <w:name w:val="Heading 4"/>
    <w:basedOn w:val="Heading3"/>
    <w:next w:val="Normal"/>
    <w:qFormat/>
    <w:pPr>
      <w:numPr>
        <w:ilvl w:val="0"/>
        <w:numId w:val="0"/>
      </w:numPr>
      <w:ind w:left="432" w:right="0" w:hanging="0"/>
      <w:outlineLvl w:val="3"/>
    </w:pPr>
    <w:rPr>
      <w:bCs/>
    </w:rPr>
  </w:style>
  <w:style w:type="paragraph" w:styleId="Heading5">
    <w:name w:val="Heading 5"/>
    <w:basedOn w:val="Normal"/>
    <w:next w:val="Normal"/>
    <w:qFormat/>
    <w:pPr>
      <w:numPr>
        <w:ilvl w:val="0"/>
        <w:numId w:val="0"/>
      </w:numPr>
      <w:spacing w:before="240" w:after="60"/>
      <w:outlineLvl w:val="4"/>
    </w:pPr>
    <w:rPr>
      <w:b/>
      <w:bCs/>
      <w:i/>
      <w:iCs/>
      <w:sz w:val="26"/>
      <w:szCs w:val="26"/>
      <w:lang w:val="x-none" w:eastAsia="x-none"/>
    </w:rPr>
  </w:style>
  <w:style w:type="paragraph" w:styleId="Heading6">
    <w:name w:val="Heading 6"/>
    <w:basedOn w:val="Normal"/>
    <w:next w:val="Normal"/>
    <w:qFormat/>
    <w:pPr>
      <w:keepNext w:val="true"/>
      <w:keepLines/>
      <w:numPr>
        <w:ilvl w:val="0"/>
        <w:numId w:val="0"/>
      </w:numPr>
      <w:spacing w:before="200" w:after="0"/>
      <w:outlineLvl w:val="5"/>
    </w:pPr>
    <w:rPr>
      <w:rFonts w:ascii="Cambria" w:hAnsi="Cambria"/>
      <w:i/>
      <w:iCs/>
      <w:color w:val="243F60"/>
      <w:sz w:val="20"/>
      <w:szCs w:val="20"/>
      <w:lang w:val="x-none" w:eastAsia="x-none"/>
    </w:rPr>
  </w:style>
  <w:style w:type="paragraph" w:styleId="Heading7">
    <w:name w:val="Heading 7"/>
    <w:basedOn w:val="Normal"/>
    <w:next w:val="Normal"/>
    <w:qFormat/>
    <w:pPr>
      <w:keepNext w:val="true"/>
      <w:keepLines/>
      <w:numPr>
        <w:ilvl w:val="0"/>
        <w:numId w:val="0"/>
      </w:numPr>
      <w:spacing w:before="200" w:after="0"/>
      <w:outlineLvl w:val="6"/>
    </w:pPr>
    <w:rPr>
      <w:rFonts w:ascii="Cambria" w:hAnsi="Cambria"/>
      <w:i/>
      <w:iCs/>
      <w:color w:val="404040"/>
      <w:sz w:val="20"/>
      <w:szCs w:val="20"/>
      <w:lang w:val="x-none" w:eastAsia="x-none"/>
    </w:rPr>
  </w:style>
  <w:style w:type="paragraph" w:styleId="Heading8">
    <w:name w:val="Heading 8"/>
    <w:basedOn w:val="Normal"/>
    <w:next w:val="Normal"/>
    <w:qFormat/>
    <w:pPr>
      <w:keepNext w:val="true"/>
      <w:keepLines/>
      <w:numPr>
        <w:ilvl w:val="0"/>
        <w:numId w:val="0"/>
      </w:numPr>
      <w:spacing w:before="200" w:after="0"/>
      <w:outlineLvl w:val="7"/>
    </w:pPr>
    <w:rPr>
      <w:rFonts w:ascii="Cambria" w:hAnsi="Cambria"/>
      <w:color w:val="4F81BD"/>
      <w:sz w:val="20"/>
      <w:szCs w:val="20"/>
      <w:lang w:val="x-none" w:eastAsia="x-none"/>
    </w:rPr>
  </w:style>
  <w:style w:type="paragraph" w:styleId="Heading9">
    <w:name w:val="Heading 9"/>
    <w:basedOn w:val="Normal"/>
    <w:next w:val="Normal"/>
    <w:qFormat/>
    <w:pPr>
      <w:numPr>
        <w:ilvl w:val="0"/>
        <w:numId w:val="0"/>
      </w:numPr>
      <w:spacing w:before="240" w:after="60"/>
      <w:outlineLvl w:val="8"/>
    </w:pPr>
    <w:rPr>
      <w:rFonts w:ascii="Arial" w:hAnsi="Arial"/>
      <w:sz w:val="22"/>
      <w:szCs w:val="22"/>
      <w:lang w:val="x-none" w:eastAsia="x-none"/>
    </w:rPr>
  </w:style>
  <w:style w:type="character" w:styleId="DefaultParagraphFont" w:default="1">
    <w:name w:val="Default Paragraph Font"/>
    <w:uiPriority w:val="1"/>
    <w:semiHidden/>
    <w:unhideWhenUsed/>
    <w:qFormat/>
    <w:rPr/>
  </w:style>
  <w:style w:type="character" w:styleId="1" w:customStyle="1">
    <w:name w:val="Заголовок 1 Знак"/>
    <w:basedOn w:val="DefaultParagraphFont"/>
    <w:qFormat/>
    <w:rsid w:val="00886f70"/>
    <w:rPr>
      <w:rFonts w:ascii="Arial" w:hAnsi="Arial" w:eastAsia="Times New Roman" w:cs="Arial"/>
      <w:b/>
      <w:bCs/>
      <w:kern w:val="2"/>
      <w:sz w:val="32"/>
      <w:szCs w:val="32"/>
      <w:lang w:eastAsia="ru-RU"/>
    </w:rPr>
  </w:style>
  <w:style w:type="character" w:styleId="3" w:customStyle="1">
    <w:name w:val="Заголовок 3 Знак"/>
    <w:basedOn w:val="DefaultParagraphFont"/>
    <w:qFormat/>
    <w:rsid w:val="00886f70"/>
    <w:rPr>
      <w:rFonts w:ascii="Cambria" w:hAnsi="Cambria" w:eastAsia="Times New Roman" w:cs="Times New Roman"/>
      <w:b/>
      <w:bCs/>
      <w:color w:val="4F81BD"/>
      <w:sz w:val="20"/>
      <w:szCs w:val="20"/>
      <w:lang w:val="x-none" w:eastAsia="x-none"/>
    </w:rPr>
  </w:style>
  <w:style w:type="character" w:styleId="Style" w:customStyle="1">
    <w:name w:val="Заголовок Знак"/>
    <w:basedOn w:val="DefaultParagraphFont"/>
    <w:qFormat/>
    <w:rsid w:val="00886f70"/>
    <w:rPr>
      <w:rFonts w:ascii="Times New Roman" w:hAnsi="Times New Roman" w:eastAsia="Times New Roman" w:cs="Times New Roman"/>
      <w:b/>
      <w:bCs/>
      <w:sz w:val="24"/>
      <w:szCs w:val="24"/>
      <w:lang w:eastAsia="ru-RU"/>
    </w:rPr>
  </w:style>
  <w:style w:type="character" w:styleId="2" w:customStyle="1">
    <w:name w:val="Основной текст с отступом 2 Знак"/>
    <w:basedOn w:val="DefaultParagraphFont"/>
    <w:link w:val="BodyTextIndent2"/>
    <w:qFormat/>
    <w:rsid w:val="00886f70"/>
    <w:rPr>
      <w:rFonts w:ascii="Times New Roman" w:hAnsi="Times New Roman" w:eastAsia="Times New Roman" w:cs="Times New Roman"/>
      <w:sz w:val="24"/>
      <w:szCs w:val="20"/>
      <w:lang w:eastAsia="ru-RU"/>
    </w:rPr>
  </w:style>
  <w:style w:type="character" w:styleId="Style1" w:customStyle="1">
    <w:name w:val="Текст выноски Знак"/>
    <w:basedOn w:val="DefaultParagraphFont"/>
    <w:link w:val="BalloonText"/>
    <w:semiHidden/>
    <w:qFormat/>
    <w:rsid w:val="00886f70"/>
    <w:rPr>
      <w:rFonts w:ascii="Tahoma" w:hAnsi="Tahoma" w:eastAsia="Times New Roman" w:cs="Tahoma"/>
      <w:sz w:val="16"/>
      <w:szCs w:val="16"/>
      <w:lang w:eastAsia="ru-RU"/>
    </w:rPr>
  </w:style>
  <w:style w:type="character" w:styleId="21" w:customStyle="1">
    <w:name w:val="Основной текст 2 Знак"/>
    <w:basedOn w:val="DefaultParagraphFont"/>
    <w:link w:val="BodyText2"/>
    <w:qFormat/>
    <w:rsid w:val="00886f70"/>
    <w:rPr>
      <w:rFonts w:ascii="Times New Roman" w:hAnsi="Times New Roman" w:eastAsia="Times New Roman" w:cs="Times New Roman"/>
      <w:sz w:val="24"/>
      <w:szCs w:val="24"/>
      <w:lang w:eastAsia="ru-RU"/>
    </w:rPr>
  </w:style>
  <w:style w:type="character" w:styleId="Style2" w:customStyle="1">
    <w:name w:val="Основной текст Знак"/>
    <w:basedOn w:val="DefaultParagraphFont"/>
    <w:qFormat/>
    <w:rsid w:val="00886f70"/>
    <w:rPr>
      <w:rFonts w:ascii="Times New Roman" w:hAnsi="Times New Roman" w:eastAsia="Times New Roman" w:cs="Times New Roman"/>
      <w:sz w:val="20"/>
      <w:szCs w:val="20"/>
      <w:lang w:eastAsia="ru-RU"/>
    </w:rPr>
  </w:style>
  <w:style w:type="character" w:styleId="Style3" w:customStyle="1">
    <w:name w:val="Нижний колонтитул Знак"/>
    <w:basedOn w:val="DefaultParagraphFont"/>
    <w:uiPriority w:val="99"/>
    <w:qFormat/>
    <w:rsid w:val="00886f70"/>
    <w:rPr>
      <w:rFonts w:ascii="Times New Roman" w:hAnsi="Times New Roman" w:eastAsia="Times New Roman" w:cs="Times New Roman"/>
      <w:sz w:val="20"/>
      <w:szCs w:val="20"/>
      <w:lang w:eastAsia="ru-RU"/>
    </w:rPr>
  </w:style>
  <w:style w:type="character" w:styleId="Pagenumber">
    <w:name w:val="page number"/>
    <w:basedOn w:val="DefaultParagraphFont"/>
    <w:qFormat/>
    <w:rsid w:val="00886f70"/>
    <w:rPr/>
  </w:style>
  <w:style w:type="character" w:styleId="31" w:customStyle="1">
    <w:name w:val="Основной текст 3 Знак"/>
    <w:basedOn w:val="DefaultParagraphFont"/>
    <w:link w:val="BodyText3"/>
    <w:qFormat/>
    <w:rsid w:val="00886f70"/>
    <w:rPr>
      <w:rFonts w:ascii="Times New Roman" w:hAnsi="Times New Roman" w:eastAsia="Times New Roman" w:cs="Times New Roman"/>
      <w:sz w:val="16"/>
      <w:szCs w:val="16"/>
      <w:lang w:val="x-none" w:eastAsia="x-none"/>
    </w:rPr>
  </w:style>
  <w:style w:type="character" w:styleId="Annotationreference">
    <w:name w:val="annotation reference"/>
    <w:qFormat/>
    <w:rsid w:val="00886f70"/>
    <w:rPr>
      <w:sz w:val="16"/>
      <w:szCs w:val="16"/>
    </w:rPr>
  </w:style>
  <w:style w:type="character" w:styleId="Style4" w:customStyle="1">
    <w:name w:val="Текст примечания Знак"/>
    <w:basedOn w:val="DefaultParagraphFont"/>
    <w:link w:val="Annotationtext"/>
    <w:qFormat/>
    <w:rsid w:val="00886f70"/>
    <w:rPr>
      <w:rFonts w:ascii="Times New Roman" w:hAnsi="Times New Roman" w:eastAsia="Times New Roman" w:cs="Times New Roman"/>
      <w:sz w:val="20"/>
      <w:szCs w:val="20"/>
      <w:lang w:eastAsia="ru-RU"/>
    </w:rPr>
  </w:style>
  <w:style w:type="character" w:styleId="Style5" w:customStyle="1">
    <w:name w:val="Тема примечания Знак"/>
    <w:basedOn w:val="Style4"/>
    <w:link w:val="Annotationsubject"/>
    <w:qFormat/>
    <w:rsid w:val="00886f70"/>
    <w:rPr>
      <w:rFonts w:ascii="Times New Roman" w:hAnsi="Times New Roman" w:eastAsia="Times New Roman" w:cs="Times New Roman"/>
      <w:b/>
      <w:bCs/>
      <w:sz w:val="20"/>
      <w:szCs w:val="20"/>
      <w:lang w:val="x-none" w:eastAsia="x-none"/>
    </w:rPr>
  </w:style>
  <w:style w:type="character" w:styleId="Style6" w:customStyle="1">
    <w:name w:val="Основной текст с отступом Знак"/>
    <w:basedOn w:val="DefaultParagraphFont"/>
    <w:qFormat/>
    <w:rsid w:val="00886f70"/>
    <w:rPr>
      <w:rFonts w:ascii="Times New Roman" w:hAnsi="Times New Roman" w:eastAsia="Times New Roman" w:cs="Times New Roman"/>
      <w:sz w:val="20"/>
      <w:szCs w:val="20"/>
      <w:lang w:eastAsia="ru-RU"/>
    </w:rPr>
  </w:style>
  <w:style w:type="character" w:styleId="Style7" w:customStyle="1">
    <w:name w:val="комментарий"/>
    <w:uiPriority w:val="99"/>
    <w:qFormat/>
    <w:rsid w:val="00886f70"/>
    <w:rPr>
      <w:rFonts w:cs="Times New Roman"/>
      <w:b/>
      <w:bCs/>
      <w:i/>
      <w:iCs/>
      <w:shd w:fill="FFFF99" w:val="clear"/>
    </w:rPr>
  </w:style>
  <w:style w:type="character" w:styleId="Style8" w:customStyle="1">
    <w:name w:val="Текст сноски Знак"/>
    <w:basedOn w:val="DefaultParagraphFont"/>
    <w:uiPriority w:val="99"/>
    <w:qFormat/>
    <w:rsid w:val="00886f70"/>
    <w:rPr>
      <w:rFonts w:ascii="Times New Roman" w:hAnsi="Times New Roman" w:eastAsia="Times New Roman" w:cs="Times New Roman"/>
      <w:sz w:val="20"/>
      <w:szCs w:val="20"/>
      <w:lang w:eastAsia="ru-RU"/>
    </w:rPr>
  </w:style>
  <w:style w:type="character" w:styleId="Style9" w:customStyle="1">
    <w:name w:val="Символ сноски"/>
    <w:qFormat/>
    <w:rsid w:val="00886f70"/>
    <w:rPr>
      <w:vertAlign w:val="superscript"/>
    </w:rPr>
  </w:style>
  <w:style w:type="character" w:styleId="FootnoteReference">
    <w:name w:val="Footnote Reference"/>
    <w:rPr>
      <w:vertAlign w:val="superscript"/>
    </w:rPr>
  </w:style>
  <w:style w:type="character" w:styleId="Style10" w:customStyle="1">
    <w:name w:val="Схема документа Знак"/>
    <w:basedOn w:val="DefaultParagraphFont"/>
    <w:link w:val="DocumentMap"/>
    <w:semiHidden/>
    <w:qFormat/>
    <w:rsid w:val="00886f70"/>
    <w:rPr>
      <w:rFonts w:ascii="Tahoma" w:hAnsi="Tahoma" w:eastAsia="Times New Roman" w:cs="Tahoma"/>
      <w:sz w:val="20"/>
      <w:szCs w:val="20"/>
      <w:shd w:fill="000080" w:val="clear"/>
      <w:lang w:eastAsia="ru-RU"/>
    </w:rPr>
  </w:style>
  <w:style w:type="character" w:styleId="Style11" w:customStyle="1">
    <w:name w:val="Верхний колонтитул Знак"/>
    <w:basedOn w:val="DefaultParagraphFont"/>
    <w:qFormat/>
    <w:rsid w:val="00886f70"/>
    <w:rPr>
      <w:rFonts w:ascii="Times New Roman" w:hAnsi="Times New Roman" w:eastAsia="Times New Roman" w:cs="Times New Roman"/>
      <w:sz w:val="20"/>
      <w:szCs w:val="20"/>
      <w:lang w:eastAsia="ru-RU"/>
    </w:rPr>
  </w:style>
  <w:style w:type="character" w:styleId="Hyperlink">
    <w:name w:val="Hyperlink"/>
    <w:rsid w:val="00886f70"/>
    <w:rPr>
      <w:color w:val="0000FF"/>
      <w:u w:val="single"/>
    </w:rPr>
  </w:style>
  <w:style w:type="character" w:styleId="Style12" w:customStyle="1">
    <w:name w:val="Абзац списка Знак"/>
    <w:link w:val="ListParagraph"/>
    <w:uiPriority w:val="34"/>
    <w:qFormat/>
    <w:locked/>
    <w:rsid w:val="00b80bab"/>
    <w:rPr>
      <w:rFonts w:ascii="Times New Roman" w:hAnsi="Times New Roman" w:eastAsia="Times New Roman" w:cs="Times New Roman"/>
      <w:sz w:val="20"/>
      <w:szCs w:val="20"/>
      <w:lang w:eastAsia="ru-RU"/>
    </w:rPr>
  </w:style>
  <w:style w:type="character" w:styleId="Linenumber1" w:customStyle="1">
    <w:name w:val="line number1"/>
    <w:qFormat/>
    <w:rPr/>
  </w:style>
  <w:style w:type="character" w:styleId="Style13" w:customStyle="1">
    <w:name w:val="Символ концевой сноски"/>
    <w:qFormat/>
    <w:rPr>
      <w:vertAlign w:val="superscript"/>
    </w:rPr>
  </w:style>
  <w:style w:type="character" w:styleId="EndnoteReference">
    <w:name w:val="Endnote Reference"/>
    <w:rPr>
      <w:vertAlign w:val="superscript"/>
    </w:rPr>
  </w:style>
  <w:style w:type="character" w:styleId="Linenumber">
    <w:name w:val="line number"/>
    <w:qFormat/>
    <w:rPr/>
  </w:style>
  <w:style w:type="character" w:styleId="Style14">
    <w:name w:val="Ссылка указателя"/>
    <w:qFormat/>
    <w:rPr/>
  </w:style>
  <w:style w:type="character" w:styleId="Tooltip">
    <w:name w:val="tooltip"/>
    <w:basedOn w:val="DefaultParagraphFont"/>
    <w:qFormat/>
    <w:rPr/>
  </w:style>
  <w:style w:type="character" w:styleId="Apple-converted-space">
    <w:name w:val="apple-converted-space"/>
    <w:basedOn w:val="DefaultParagraphFont"/>
    <w:qFormat/>
    <w:rPr/>
  </w:style>
  <w:style w:type="character" w:styleId="Style15">
    <w:name w:val="основной для подзаголовков Знак"/>
    <w:qFormat/>
    <w:rPr>
      <w:b/>
      <w:sz w:val="28"/>
      <w:szCs w:val="28"/>
    </w:rPr>
  </w:style>
  <w:style w:type="character" w:styleId="32">
    <w:name w:val="Основной текст с отступом 3 Знак"/>
    <w:qFormat/>
    <w:rPr>
      <w:sz w:val="16"/>
      <w:szCs w:val="16"/>
    </w:rPr>
  </w:style>
  <w:style w:type="character" w:styleId="11">
    <w:name w:val="Неразрешенное упоминание1"/>
    <w:basedOn w:val="DefaultParagraphFont"/>
    <w:qFormat/>
    <w:rPr>
      <w:color w:val="605E5C"/>
      <w:shd w:fill="E1DFDD" w:val="clear"/>
    </w:rPr>
  </w:style>
  <w:style w:type="character" w:styleId="12">
    <w:name w:val="УРОВЕНЬ_1. Знак"/>
    <w:qFormat/>
    <w:rPr>
      <w:rFonts w:eastAsia="Calibri"/>
      <w:caps/>
      <w:sz w:val="28"/>
      <w:szCs w:val="28"/>
      <w:lang w:eastAsia="en-US"/>
    </w:rPr>
  </w:style>
  <w:style w:type="character" w:styleId="22">
    <w:name w:val="Пункт2 Знак"/>
    <w:qFormat/>
    <w:rPr>
      <w:b/>
      <w:sz w:val="28"/>
    </w:rPr>
  </w:style>
  <w:style w:type="character" w:styleId="Style16">
    <w:name w:val="Текст концевой сноски Знак"/>
    <w:basedOn w:val="DefaultParagraphFont"/>
    <w:qFormat/>
    <w:rPr/>
  </w:style>
  <w:style w:type="character" w:styleId="33">
    <w:name w:val="УРОВЕНЬ_Абзац_тип3 Знак"/>
    <w:qFormat/>
    <w:rPr>
      <w:rFonts w:eastAsia="Calibri"/>
      <w:sz w:val="26"/>
      <w:szCs w:val="28"/>
      <w:lang w:eastAsia="en-US"/>
    </w:rPr>
  </w:style>
  <w:style w:type="character" w:styleId="Style17">
    <w:name w:val="Подподпункт Знак"/>
    <w:qFormat/>
    <w:rPr>
      <w:sz w:val="26"/>
      <w:szCs w:val="26"/>
    </w:rPr>
  </w:style>
  <w:style w:type="character" w:styleId="Blk">
    <w:name w:val="blk"/>
    <w:qFormat/>
    <w:rPr/>
  </w:style>
  <w:style w:type="character" w:styleId="13">
    <w:name w:val="Подпункт Знак1"/>
    <w:qFormat/>
    <w:rPr>
      <w:sz w:val="28"/>
    </w:rPr>
  </w:style>
  <w:style w:type="character" w:styleId="Style18">
    <w:name w:val="Электронная подпись Знак"/>
    <w:qFormat/>
    <w:rPr>
      <w:rFonts w:eastAsia="Calibri"/>
      <w:sz w:val="24"/>
      <w:szCs w:val="24"/>
    </w:rPr>
  </w:style>
  <w:style w:type="character" w:styleId="BookTitle">
    <w:name w:val="Book Title"/>
    <w:qFormat/>
    <w:rPr>
      <w:b/>
      <w:bCs/>
      <w:smallCaps/>
      <w:spacing w:val="5"/>
    </w:rPr>
  </w:style>
  <w:style w:type="character" w:styleId="IntenseReference">
    <w:name w:val="Intense Reference"/>
    <w:qFormat/>
    <w:rPr>
      <w:b/>
      <w:bCs/>
      <w:smallCaps/>
      <w:color w:val="C0504D"/>
      <w:spacing w:val="5"/>
      <w:u w:val="single"/>
    </w:rPr>
  </w:style>
  <w:style w:type="character" w:styleId="SubtleReference">
    <w:name w:val="Subtle Reference"/>
    <w:qFormat/>
    <w:rPr>
      <w:smallCaps/>
      <w:color w:val="C0504D"/>
      <w:u w:val="single"/>
    </w:rPr>
  </w:style>
  <w:style w:type="character" w:styleId="IntenseEmphasis">
    <w:name w:val="Intense Emphasis"/>
    <w:qFormat/>
    <w:rPr>
      <w:b/>
      <w:bCs/>
      <w:i/>
      <w:iCs/>
      <w:color w:val="4F81BD"/>
    </w:rPr>
  </w:style>
  <w:style w:type="character" w:styleId="SubtleEmphasis">
    <w:name w:val="Subtle Emphasis"/>
    <w:qFormat/>
    <w:rPr>
      <w:i/>
      <w:iCs/>
      <w:color w:val="808080"/>
    </w:rPr>
  </w:style>
  <w:style w:type="character" w:styleId="Style19">
    <w:name w:val="Выделенная цитата Знак"/>
    <w:qFormat/>
    <w:rPr>
      <w:rFonts w:ascii="Calibri" w:hAnsi="Calibri" w:eastAsia="Calibri"/>
      <w:b/>
      <w:bCs/>
      <w:i/>
      <w:iCs/>
      <w:color w:val="4F81BD"/>
      <w:lang w:val="x-none" w:eastAsia="x-none"/>
    </w:rPr>
  </w:style>
  <w:style w:type="character" w:styleId="23">
    <w:name w:val="Цитата 2 Знак"/>
    <w:qFormat/>
    <w:rPr>
      <w:rFonts w:ascii="Calibri" w:hAnsi="Calibri" w:eastAsia="Calibri"/>
      <w:i/>
      <w:iCs/>
      <w:color w:val="000000"/>
      <w:lang w:val="x-none" w:eastAsia="x-none"/>
    </w:rPr>
  </w:style>
  <w:style w:type="character" w:styleId="Emphasis">
    <w:name w:val="Emphasis"/>
    <w:qFormat/>
    <w:rPr>
      <w:i/>
      <w:iCs/>
    </w:rPr>
  </w:style>
  <w:style w:type="character" w:styleId="Style20">
    <w:name w:val="Подзаголовок Знак"/>
    <w:qFormat/>
    <w:rPr>
      <w:rFonts w:ascii="Cambria" w:hAnsi="Cambria"/>
      <w:i/>
      <w:iCs/>
      <w:color w:val="4F81BD"/>
      <w:spacing w:val="15"/>
      <w:sz w:val="24"/>
      <w:szCs w:val="24"/>
      <w:lang w:val="x-none" w:eastAsia="x-none"/>
    </w:rPr>
  </w:style>
  <w:style w:type="character" w:styleId="Style21">
    <w:name w:val="Название Знак"/>
    <w:qFormat/>
    <w:rPr>
      <w:sz w:val="28"/>
    </w:rPr>
  </w:style>
  <w:style w:type="character" w:styleId="9">
    <w:name w:val="Заголовок 9 Знак"/>
    <w:qFormat/>
    <w:rPr>
      <w:rFonts w:ascii="Arial" w:hAnsi="Arial" w:cs="Arial"/>
      <w:sz w:val="22"/>
      <w:szCs w:val="22"/>
    </w:rPr>
  </w:style>
  <w:style w:type="character" w:styleId="5">
    <w:name w:val="Заголовок 5 Знак"/>
    <w:qFormat/>
    <w:rPr>
      <w:b/>
      <w:bCs/>
      <w:i/>
      <w:iCs/>
      <w:sz w:val="26"/>
      <w:szCs w:val="26"/>
    </w:rPr>
  </w:style>
  <w:style w:type="character" w:styleId="4">
    <w:name w:val="Заголовок 4 Знак"/>
    <w:qFormat/>
    <w:rPr>
      <w:rFonts w:eastAsia="Calibri"/>
      <w:b/>
      <w:bCs/>
      <w:sz w:val="24"/>
      <w:szCs w:val="24"/>
      <w:lang w:val="x-none" w:eastAsia="x-none"/>
    </w:rPr>
  </w:style>
  <w:style w:type="character" w:styleId="24">
    <w:name w:val="Заголовок 2 Знак"/>
    <w:qFormat/>
    <w:rPr>
      <w:rFonts w:eastAsia="Calibri"/>
      <w:b/>
      <w:bCs/>
      <w:sz w:val="24"/>
      <w:szCs w:val="24"/>
      <w:lang w:val="x-none" w:eastAsia="x-none"/>
    </w:rPr>
  </w:style>
  <w:style w:type="character" w:styleId="8">
    <w:name w:val="Заголовок 8 Знак"/>
    <w:qFormat/>
    <w:rPr>
      <w:rFonts w:ascii="Cambria" w:hAnsi="Cambria"/>
      <w:color w:val="4F81BD"/>
      <w:lang w:val="x-none" w:eastAsia="x-none"/>
    </w:rPr>
  </w:style>
  <w:style w:type="character" w:styleId="7">
    <w:name w:val="Заголовок 7 Знак"/>
    <w:qFormat/>
    <w:rPr>
      <w:rFonts w:ascii="Cambria" w:hAnsi="Cambria"/>
      <w:i/>
      <w:iCs/>
      <w:color w:val="404040"/>
      <w:lang w:val="x-none" w:eastAsia="x-none"/>
    </w:rPr>
  </w:style>
  <w:style w:type="character" w:styleId="6">
    <w:name w:val="Заголовок 6 Знак"/>
    <w:qFormat/>
    <w:rPr>
      <w:rFonts w:ascii="Cambria" w:hAnsi="Cambria"/>
      <w:i/>
      <w:iCs/>
      <w:color w:val="243F60"/>
      <w:lang w:val="x-none" w:eastAsia="x-none"/>
    </w:rPr>
  </w:style>
  <w:style w:type="character" w:styleId="Strong">
    <w:name w:val="Strong"/>
    <w:qFormat/>
    <w:rPr>
      <w:b/>
      <w:bCs/>
    </w:rPr>
  </w:style>
  <w:style w:type="character" w:styleId="FollowedHyperlink">
    <w:name w:val="FollowedHyperlink"/>
    <w:rPr>
      <w:color w:val="800000"/>
      <w:u w:val="single"/>
    </w:rPr>
  </w:style>
  <w:style w:type="paragraph" w:styleId="Style22">
    <w:name w:val="Заголовок"/>
    <w:basedOn w:val="Normal"/>
    <w:next w:val="BodyText"/>
    <w:qFormat/>
    <w:pPr>
      <w:keepNext w:val="true"/>
      <w:spacing w:before="240" w:after="120"/>
    </w:pPr>
    <w:rPr>
      <w:rFonts w:ascii="Liberation Sans" w:hAnsi="Liberation Sans" w:eastAsia="Noto Sans CJK SC" w:cs="Arial Unicode MS"/>
      <w:sz w:val="28"/>
      <w:szCs w:val="28"/>
    </w:rPr>
  </w:style>
  <w:style w:type="paragraph" w:styleId="BodyText">
    <w:name w:val="Body Text"/>
    <w:basedOn w:val="Normal"/>
    <w:link w:val="Style2"/>
    <w:rsid w:val="00886f70"/>
    <w:pPr>
      <w:spacing w:before="0" w:after="120"/>
    </w:pPr>
    <w:rPr/>
  </w:style>
  <w:style w:type="paragraph" w:styleId="List">
    <w:name w:val="List"/>
    <w:basedOn w:val="BodyText"/>
    <w:pPr/>
    <w:rPr/>
  </w:style>
  <w:style w:type="paragraph" w:styleId="Caption">
    <w:name w:val="Caption"/>
    <w:basedOn w:val="Normal"/>
    <w:qFormat/>
    <w:pPr>
      <w:suppressLineNumbers/>
      <w:spacing w:before="120" w:after="120"/>
    </w:pPr>
    <w:rPr>
      <w:rFonts w:cs="Arial Unicode MS"/>
      <w:i/>
      <w:iCs/>
      <w:sz w:val="24"/>
      <w:szCs w:val="24"/>
    </w:rPr>
  </w:style>
  <w:style w:type="paragraph" w:styleId="Style23">
    <w:name w:val="Указатель"/>
    <w:basedOn w:val="Normal"/>
    <w:qFormat/>
    <w:pPr>
      <w:suppressLineNumbers/>
    </w:pPr>
    <w:rPr>
      <w:rFonts w:cs="Arial Unicode MS"/>
    </w:rPr>
  </w:style>
  <w:style w:type="paragraph" w:styleId="Title">
    <w:name w:val="Title"/>
    <w:basedOn w:val="Normal"/>
    <w:next w:val="BodyText"/>
    <w:link w:val="Style"/>
    <w:qFormat/>
    <w:rsid w:val="00886f70"/>
    <w:pPr>
      <w:jc w:val="center"/>
    </w:pPr>
    <w:rPr>
      <w:b/>
      <w:bCs/>
      <w:sz w:val="24"/>
      <w:szCs w:val="24"/>
    </w:rPr>
  </w:style>
  <w:style w:type="paragraph" w:styleId="Caption1">
    <w:name w:val="caption1"/>
    <w:basedOn w:val="Normal"/>
    <w:qFormat/>
    <w:pPr>
      <w:suppressLineNumbers/>
      <w:spacing w:before="120" w:after="120"/>
    </w:pPr>
    <w:rPr>
      <w:i/>
      <w:iCs/>
      <w:sz w:val="24"/>
      <w:szCs w:val="24"/>
    </w:rPr>
  </w:style>
  <w:style w:type="paragraph" w:styleId="Indexheading1">
    <w:name w:val="index heading1"/>
    <w:basedOn w:val="Normal"/>
    <w:qFormat/>
    <w:pPr>
      <w:suppressLineNumbers/>
    </w:pPr>
    <w:rPr/>
  </w:style>
  <w:style w:type="paragraph" w:styleId="14" w:customStyle="1">
    <w:name w:val="Заголовок1"/>
    <w:basedOn w:val="Normal"/>
    <w:next w:val="BodyText"/>
    <w:qFormat/>
    <w:pPr>
      <w:keepNext w:val="true"/>
      <w:spacing w:before="240" w:after="120"/>
    </w:pPr>
    <w:rPr>
      <w:rFonts w:ascii="Liberation Sans" w:hAnsi="Liberation Sans" w:eastAsia="Arial Unicode MS" w:cs="Arial Unicode MS"/>
      <w:sz w:val="28"/>
      <w:szCs w:val="28"/>
    </w:rPr>
  </w:style>
  <w:style w:type="paragraph" w:styleId="Caption11" w:customStyle="1">
    <w:name w:val="caption11"/>
    <w:basedOn w:val="Normal"/>
    <w:qFormat/>
    <w:pPr>
      <w:suppressLineNumbers/>
      <w:spacing w:before="120" w:after="120"/>
    </w:pPr>
    <w:rPr>
      <w:i/>
      <w:iCs/>
      <w:sz w:val="24"/>
      <w:szCs w:val="24"/>
    </w:rPr>
  </w:style>
  <w:style w:type="paragraph" w:styleId="Style24" w:customStyle="1">
    <w:name w:val="Таблицы (моноширинный)"/>
    <w:basedOn w:val="Normal"/>
    <w:next w:val="Normal"/>
    <w:qFormat/>
    <w:rsid w:val="00886f70"/>
    <w:pPr>
      <w:jc w:val="both"/>
    </w:pPr>
    <w:rPr>
      <w:rFonts w:ascii="Courier New" w:hAnsi="Courier New" w:cs="Courier New"/>
    </w:rPr>
  </w:style>
  <w:style w:type="paragraph" w:styleId="BodyTextIndent2">
    <w:name w:val="Body Text Indent 2"/>
    <w:basedOn w:val="Normal"/>
    <w:link w:val="2"/>
    <w:qFormat/>
    <w:rsid w:val="00886f70"/>
    <w:pPr>
      <w:ind w:left="1843" w:hanging="0"/>
      <w:jc w:val="both"/>
    </w:pPr>
    <w:rPr>
      <w:sz w:val="24"/>
    </w:rPr>
  </w:style>
  <w:style w:type="paragraph" w:styleId="BalloonText">
    <w:name w:val="Balloon Text"/>
    <w:basedOn w:val="Normal"/>
    <w:link w:val="Style1"/>
    <w:semiHidden/>
    <w:qFormat/>
    <w:rsid w:val="00886f70"/>
    <w:pPr/>
    <w:rPr>
      <w:rFonts w:ascii="Tahoma" w:hAnsi="Tahoma" w:cs="Tahoma"/>
      <w:sz w:val="16"/>
      <w:szCs w:val="16"/>
    </w:rPr>
  </w:style>
  <w:style w:type="paragraph" w:styleId="BodyText2">
    <w:name w:val="Body Text 2"/>
    <w:basedOn w:val="Normal"/>
    <w:link w:val="21"/>
    <w:qFormat/>
    <w:rsid w:val="00886f70"/>
    <w:pPr>
      <w:widowControl/>
      <w:spacing w:lineRule="auto" w:line="480" w:before="0" w:after="120"/>
    </w:pPr>
    <w:rPr>
      <w:sz w:val="24"/>
      <w:szCs w:val="24"/>
    </w:rPr>
  </w:style>
  <w:style w:type="paragraph" w:styleId="Style25" w:customStyle="1">
    <w:name w:val="Колонтитул"/>
    <w:basedOn w:val="Normal"/>
    <w:qFormat/>
    <w:pPr/>
    <w:rPr/>
  </w:style>
  <w:style w:type="paragraph" w:styleId="Footer">
    <w:name w:val="Footer"/>
    <w:basedOn w:val="Normal"/>
    <w:link w:val="Style3"/>
    <w:uiPriority w:val="99"/>
    <w:rsid w:val="00886f70"/>
    <w:pPr>
      <w:tabs>
        <w:tab w:val="clear" w:pos="709"/>
        <w:tab w:val="center" w:pos="4677" w:leader="none"/>
        <w:tab w:val="right" w:pos="9355" w:leader="none"/>
      </w:tabs>
    </w:pPr>
    <w:rPr/>
  </w:style>
  <w:style w:type="paragraph" w:styleId="BodyText3">
    <w:name w:val="Body Text 3"/>
    <w:basedOn w:val="Normal"/>
    <w:link w:val="31"/>
    <w:qFormat/>
    <w:rsid w:val="00886f70"/>
    <w:pPr>
      <w:spacing w:before="0" w:after="120"/>
    </w:pPr>
    <w:rPr>
      <w:sz w:val="16"/>
      <w:szCs w:val="16"/>
      <w:lang w:val="x-none" w:eastAsia="x-none"/>
    </w:rPr>
  </w:style>
  <w:style w:type="paragraph" w:styleId="Annotationtext">
    <w:name w:val="annotation text"/>
    <w:basedOn w:val="Normal"/>
    <w:link w:val="Style4"/>
    <w:qFormat/>
    <w:rsid w:val="00886f70"/>
    <w:pPr/>
    <w:rPr/>
  </w:style>
  <w:style w:type="paragraph" w:styleId="Annotationsubject">
    <w:name w:val="annotation subject"/>
    <w:basedOn w:val="Annotationtext"/>
    <w:next w:val="Annotationtext"/>
    <w:link w:val="Style5"/>
    <w:qFormat/>
    <w:rsid w:val="00886f70"/>
    <w:pPr/>
    <w:rPr>
      <w:b/>
      <w:bCs/>
      <w:lang w:val="x-none" w:eastAsia="x-none"/>
    </w:rPr>
  </w:style>
  <w:style w:type="paragraph" w:styleId="ListParagraph">
    <w:name w:val="List Paragraph"/>
    <w:basedOn w:val="Normal"/>
    <w:link w:val="Style12"/>
    <w:uiPriority w:val="34"/>
    <w:qFormat/>
    <w:rsid w:val="00886f70"/>
    <w:pPr>
      <w:spacing w:before="0" w:after="0"/>
      <w:ind w:left="720" w:hanging="0"/>
      <w:contextualSpacing/>
    </w:pPr>
    <w:rPr/>
  </w:style>
  <w:style w:type="paragraph" w:styleId="Style26" w:customStyle="1">
    <w:name w:val="Знак Знак Знак Знак Знак Знак Знак Знак Знак"/>
    <w:basedOn w:val="Normal"/>
    <w:uiPriority w:val="99"/>
    <w:qFormat/>
    <w:rsid w:val="00886f70"/>
    <w:pPr>
      <w:widowControl/>
      <w:spacing w:lineRule="exact" w:line="240" w:before="0" w:after="160"/>
      <w:jc w:val="both"/>
    </w:pPr>
    <w:rPr>
      <w:rFonts w:ascii="Verdana" w:hAnsi="Verdana"/>
      <w:sz w:val="22"/>
      <w:lang w:val="en-US" w:eastAsia="en-US"/>
    </w:rPr>
  </w:style>
  <w:style w:type="paragraph" w:styleId="Style27" w:customStyle="1">
    <w:name w:val="Подпункт договора"/>
    <w:basedOn w:val="Normal"/>
    <w:qFormat/>
    <w:rsid w:val="00886f70"/>
    <w:pPr>
      <w:widowControl/>
      <w:tabs>
        <w:tab w:val="clear" w:pos="709"/>
        <w:tab w:val="left" w:pos="360" w:leader="none"/>
      </w:tabs>
      <w:jc w:val="both"/>
    </w:pPr>
    <w:rPr>
      <w:rFonts w:ascii="Arial" w:hAnsi="Arial"/>
    </w:rPr>
  </w:style>
  <w:style w:type="paragraph" w:styleId="ConsNormal" w:customStyle="1">
    <w:name w:val="ConsNormal"/>
    <w:qFormat/>
    <w:rsid w:val="00886f70"/>
    <w:pPr>
      <w:widowControl/>
      <w:suppressAutoHyphens w:val="true"/>
      <w:bidi w:val="0"/>
      <w:spacing w:before="0" w:after="0"/>
      <w:ind w:right="19772" w:firstLine="720"/>
      <w:jc w:val="left"/>
    </w:pPr>
    <w:rPr>
      <w:rFonts w:ascii="Arial" w:hAnsi="Arial" w:eastAsia="Times New Roman" w:cs="Times New Roman"/>
      <w:color w:val="auto"/>
      <w:kern w:val="0"/>
      <w:sz w:val="32"/>
      <w:szCs w:val="20"/>
      <w:lang w:val="ru-RU" w:eastAsia="en-US" w:bidi="ar-SA"/>
    </w:rPr>
  </w:style>
  <w:style w:type="paragraph" w:styleId="BodyTextIndent">
    <w:name w:val="Body Text Indent"/>
    <w:basedOn w:val="Normal"/>
    <w:link w:val="Style6"/>
    <w:rsid w:val="00886f70"/>
    <w:pPr>
      <w:spacing w:before="0" w:after="120"/>
      <w:ind w:left="283" w:hanging="0"/>
    </w:pPr>
    <w:rPr/>
  </w:style>
  <w:style w:type="paragraph" w:styleId="Style28" w:customStyle="1">
    <w:name w:val="Знак"/>
    <w:basedOn w:val="Normal"/>
    <w:qFormat/>
    <w:rsid w:val="00886f70"/>
    <w:pPr>
      <w:widowControl/>
      <w:spacing w:lineRule="exact" w:line="240" w:before="0" w:after="160"/>
    </w:pPr>
    <w:rPr>
      <w:rFonts w:ascii="Verdana" w:hAnsi="Verdana" w:cs="Verdana"/>
      <w:lang w:val="en-US" w:eastAsia="en-US"/>
    </w:rPr>
  </w:style>
  <w:style w:type="paragraph" w:styleId="FootnoteText">
    <w:name w:val="Footnote Text"/>
    <w:basedOn w:val="Normal"/>
    <w:link w:val="Style8"/>
    <w:uiPriority w:val="99"/>
    <w:rsid w:val="00886f70"/>
    <w:pPr/>
    <w:rPr/>
  </w:style>
  <w:style w:type="paragraph" w:styleId="ListBullet3">
    <w:name w:val="List Bullet 3"/>
    <w:basedOn w:val="Normal"/>
    <w:uiPriority w:val="99"/>
    <w:unhideWhenUsed/>
    <w:qFormat/>
    <w:rsid w:val="00886f70"/>
    <w:pPr>
      <w:widowControl/>
      <w:tabs>
        <w:tab w:val="clear" w:pos="709"/>
        <w:tab w:val="left" w:pos="1418" w:leader="none"/>
      </w:tabs>
      <w:spacing w:lineRule="auto" w:line="360" w:before="120" w:after="0"/>
      <w:ind w:firstLine="720"/>
      <w:jc w:val="both"/>
    </w:pPr>
    <w:rPr>
      <w:rFonts w:eastAsia="Calibri"/>
      <w:i/>
      <w:iCs/>
      <w:sz w:val="24"/>
      <w:szCs w:val="24"/>
    </w:rPr>
  </w:style>
  <w:style w:type="paragraph" w:styleId="-" w:customStyle="1">
    <w:name w:val="Контракт-пункт"/>
    <w:basedOn w:val="Normal"/>
    <w:qFormat/>
    <w:rsid w:val="00886f70"/>
    <w:pPr>
      <w:widowControl/>
      <w:tabs>
        <w:tab w:val="clear" w:pos="709"/>
        <w:tab w:val="left" w:pos="851" w:leader="none"/>
      </w:tabs>
      <w:spacing w:lineRule="auto" w:line="360"/>
      <w:ind w:left="851" w:hanging="851"/>
      <w:jc w:val="both"/>
    </w:pPr>
    <w:rPr>
      <w:rFonts w:eastAsia="Calibri"/>
      <w:sz w:val="28"/>
      <w:szCs w:val="28"/>
    </w:rPr>
  </w:style>
  <w:style w:type="paragraph" w:styleId="DocumentMap">
    <w:name w:val="Document Map"/>
    <w:basedOn w:val="Normal"/>
    <w:link w:val="Style10"/>
    <w:semiHidden/>
    <w:qFormat/>
    <w:rsid w:val="00886f70"/>
    <w:pPr>
      <w:shd w:val="clear" w:color="auto" w:fill="000080"/>
    </w:pPr>
    <w:rPr>
      <w:rFonts w:ascii="Tahoma" w:hAnsi="Tahoma" w:cs="Tahoma"/>
    </w:rPr>
  </w:style>
  <w:style w:type="paragraph" w:styleId="Revision">
    <w:name w:val="Revision"/>
    <w:uiPriority w:val="99"/>
    <w:semiHidden/>
    <w:qFormat/>
    <w:rsid w:val="00886f70"/>
    <w:pPr>
      <w:widowControl/>
      <w:suppressAutoHyphens w:val="true"/>
      <w:bidi w:val="0"/>
      <w:spacing w:before="0" w:after="0"/>
      <w:jc w:val="left"/>
    </w:pPr>
    <w:rPr>
      <w:rFonts w:ascii="Times New Roman" w:hAnsi="Times New Roman" w:eastAsia="Times New Roman" w:cs="Times New Roman"/>
      <w:color w:val="auto"/>
      <w:kern w:val="0"/>
      <w:sz w:val="20"/>
      <w:szCs w:val="20"/>
      <w:lang w:val="ru-RU" w:eastAsia="ru-RU" w:bidi="ar-SA"/>
    </w:rPr>
  </w:style>
  <w:style w:type="paragraph" w:styleId="Header">
    <w:name w:val="Header"/>
    <w:basedOn w:val="Normal"/>
    <w:link w:val="Style11"/>
    <w:rsid w:val="00886f70"/>
    <w:pPr>
      <w:tabs>
        <w:tab w:val="clear" w:pos="709"/>
        <w:tab w:val="center" w:pos="4677" w:leader="none"/>
        <w:tab w:val="right" w:pos="9355" w:leader="none"/>
      </w:tabs>
    </w:pPr>
    <w:rPr/>
  </w:style>
  <w:style w:type="paragraph" w:styleId="Style29" w:customStyle="1">
    <w:name w:val="Пункт договора"/>
    <w:basedOn w:val="Normal"/>
    <w:qFormat/>
    <w:rsid w:val="00886f70"/>
    <w:pPr>
      <w:jc w:val="both"/>
    </w:pPr>
    <w:rPr>
      <w:rFonts w:ascii="Arial" w:hAnsi="Arial"/>
    </w:rPr>
  </w:style>
  <w:style w:type="paragraph" w:styleId="15" w:customStyle="1">
    <w:name w:val="Знак Знак Знак Знак Знак Знак Знак Знак Знак1"/>
    <w:basedOn w:val="Normal"/>
    <w:qFormat/>
    <w:rsid w:val="00886f70"/>
    <w:pPr>
      <w:widowControl/>
      <w:spacing w:lineRule="exact" w:line="240" w:before="0" w:after="160"/>
      <w:jc w:val="both"/>
    </w:pPr>
    <w:rPr>
      <w:rFonts w:ascii="Verdana" w:hAnsi="Verdana"/>
      <w:sz w:val="22"/>
      <w:lang w:val="en-US" w:eastAsia="en-US"/>
    </w:rPr>
  </w:style>
  <w:style w:type="paragraph" w:styleId="16" w:customStyle="1">
    <w:name w:val="Обычный1"/>
    <w:qFormat/>
    <w:rsid w:val="00886f70"/>
    <w:pPr>
      <w:widowControl/>
      <w:suppressAutoHyphens w:val="true"/>
      <w:bidi w:val="0"/>
      <w:spacing w:before="0" w:after="0"/>
      <w:jc w:val="left"/>
    </w:pPr>
    <w:rPr>
      <w:rFonts w:ascii="Times New Roman" w:hAnsi="Times New Roman" w:eastAsia="Times New Roman" w:cs="Times New Roman"/>
      <w:color w:val="auto"/>
      <w:kern w:val="0"/>
      <w:sz w:val="20"/>
      <w:szCs w:val="20"/>
      <w:lang w:val="ru-RU" w:eastAsia="ru-RU" w:bidi="ar-SA"/>
    </w:rPr>
  </w:style>
  <w:style w:type="paragraph" w:styleId="ConsPlusNormal" w:customStyle="1">
    <w:name w:val="ConsPlusNormal"/>
    <w:qFormat/>
    <w:rsid w:val="00886f70"/>
    <w:pPr>
      <w:widowControl w:val="false"/>
      <w:suppressAutoHyphens w:val="true"/>
      <w:bidi w:val="0"/>
      <w:spacing w:before="0" w:after="0"/>
      <w:jc w:val="left"/>
    </w:pPr>
    <w:rPr>
      <w:rFonts w:ascii="Calibri" w:hAnsi="Calibri" w:eastAsia="Times New Roman" w:cs="Calibri" w:asciiTheme="minorHAnsi" w:hAnsiTheme="minorHAnsi"/>
      <w:color w:val="auto"/>
      <w:kern w:val="0"/>
      <w:sz w:val="22"/>
      <w:szCs w:val="20"/>
      <w:lang w:val="ru-RU" w:eastAsia="ru-RU" w:bidi="ar-SA"/>
    </w:rPr>
  </w:style>
  <w:style w:type="paragraph" w:styleId="Standard" w:customStyle="1">
    <w:name w:val="Standard"/>
    <w:qFormat/>
    <w:rsid w:val="00a106e8"/>
    <w:pPr>
      <w:widowControl/>
      <w:suppressAutoHyphens w:val="true"/>
      <w:bidi w:val="0"/>
      <w:spacing w:before="0" w:after="0"/>
      <w:jc w:val="left"/>
      <w:textAlignment w:val="baseline"/>
    </w:pPr>
    <w:rPr>
      <w:rFonts w:ascii="Liberation Serif" w:hAnsi="Liberation Serif" w:eastAsia="Arial Unicode MS" w:cs="Arial Unicode MS"/>
      <w:color w:val="auto"/>
      <w:kern w:val="2"/>
      <w:sz w:val="24"/>
      <w:szCs w:val="24"/>
      <w:lang w:val="ru-RU" w:eastAsia="zh-CN" w:bidi="hi-IN"/>
    </w:rPr>
  </w:style>
  <w:style w:type="paragraph" w:styleId="Style30">
    <w:name w:val="Содержимое таблицы"/>
    <w:basedOn w:val="Normal"/>
    <w:qFormat/>
    <w:pPr>
      <w:widowControl w:val="false"/>
      <w:suppressLineNumbers/>
    </w:pPr>
    <w:rPr/>
  </w:style>
  <w:style w:type="paragraph" w:styleId="Style31">
    <w:name w:val="Заголовок таблицы"/>
    <w:basedOn w:val="Style30"/>
    <w:qFormat/>
    <w:pPr>
      <w:jc w:val="center"/>
    </w:pPr>
    <w:rPr>
      <w:b/>
      <w:bCs/>
    </w:rPr>
  </w:style>
  <w:style w:type="paragraph" w:styleId="Style32">
    <w:name w:val="Содержимое врезки"/>
    <w:basedOn w:val="Normal"/>
    <w:qFormat/>
    <w:pPr/>
    <w:rPr/>
  </w:style>
  <w:style w:type="paragraph" w:styleId="311">
    <w:name w:val="Основной текст с отступом 31"/>
    <w:basedOn w:val="Normal"/>
    <w:qFormat/>
    <w:pPr>
      <w:ind w:left="0" w:right="0" w:firstLine="708"/>
    </w:pPr>
    <w:rPr>
      <w:sz w:val="24"/>
      <w:szCs w:val="24"/>
      <w:lang w:eastAsia="ar-SA"/>
    </w:rPr>
  </w:style>
  <w:style w:type="paragraph" w:styleId="FORMATTEXT">
    <w:name w:val=".FORMATTEXT"/>
    <w:qFormat/>
    <w:pPr>
      <w:widowControl w:val="false"/>
      <w:suppressAutoHyphens w:val="true"/>
      <w:bidi w:val="0"/>
      <w:spacing w:before="0" w:after="0"/>
      <w:jc w:val="left"/>
    </w:pPr>
    <w:rPr>
      <w:rFonts w:ascii="Times New Roman" w:hAnsi="Times New Roman" w:eastAsia="Times New Roman" w:cs="Times New Roman"/>
      <w:color w:val="auto"/>
      <w:kern w:val="0"/>
      <w:sz w:val="24"/>
      <w:szCs w:val="24"/>
      <w:lang w:val="ru-RU" w:eastAsia="ru-RU" w:bidi="ar-SA"/>
    </w:rPr>
  </w:style>
  <w:style w:type="paragraph" w:styleId="Style33">
    <w:name w:val="основной для подзаголовков"/>
    <w:basedOn w:val="Heading2"/>
    <w:qFormat/>
    <w:pPr>
      <w:tabs>
        <w:tab w:val="clear" w:pos="709"/>
      </w:tabs>
      <w:spacing w:before="120" w:after="120"/>
    </w:pPr>
    <w:rPr>
      <w:rFonts w:eastAsia="Times New Roman"/>
      <w:bCs w:val="false"/>
      <w:sz w:val="28"/>
      <w:szCs w:val="28"/>
      <w:lang w:val="ru-RU" w:eastAsia="ru-RU"/>
    </w:rPr>
  </w:style>
  <w:style w:type="paragraph" w:styleId="TOC8">
    <w:name w:val="TOC 8"/>
    <w:basedOn w:val="Normal"/>
    <w:next w:val="Normal"/>
    <w:pPr>
      <w:ind w:left="1680" w:right="0" w:hanging="0"/>
    </w:pPr>
    <w:rPr>
      <w:rFonts w:ascii="Calibri" w:hAnsi="Calibri" w:cs="Calibri"/>
      <w:sz w:val="20"/>
      <w:szCs w:val="20"/>
    </w:rPr>
  </w:style>
  <w:style w:type="paragraph" w:styleId="TOC7">
    <w:name w:val="TOC 7"/>
    <w:basedOn w:val="Normal"/>
    <w:next w:val="Normal"/>
    <w:pPr>
      <w:ind w:left="1400" w:right="0" w:hanging="0"/>
    </w:pPr>
    <w:rPr>
      <w:rFonts w:ascii="Calibri" w:hAnsi="Calibri" w:cs="Calibri"/>
      <w:sz w:val="20"/>
      <w:szCs w:val="20"/>
    </w:rPr>
  </w:style>
  <w:style w:type="paragraph" w:styleId="TOC6">
    <w:name w:val="TOC 6"/>
    <w:basedOn w:val="Normal"/>
    <w:next w:val="Normal"/>
    <w:pPr>
      <w:ind w:left="1120" w:right="0" w:hanging="0"/>
    </w:pPr>
    <w:rPr>
      <w:rFonts w:ascii="Calibri" w:hAnsi="Calibri" w:cs="Calibri"/>
      <w:sz w:val="20"/>
      <w:szCs w:val="20"/>
    </w:rPr>
  </w:style>
  <w:style w:type="paragraph" w:styleId="17">
    <w:name w:val="УРОВЕНЬ_1."/>
    <w:basedOn w:val="ListParagraph"/>
    <w:qFormat/>
    <w:pPr>
      <w:keepNext w:val="true"/>
      <w:keepLines/>
      <w:numPr>
        <w:ilvl w:val="0"/>
        <w:numId w:val="0"/>
      </w:numPr>
      <w:spacing w:lineRule="auto" w:line="276" w:before="240" w:after="120"/>
      <w:ind w:left="0" w:right="0" w:hanging="0"/>
      <w:contextualSpacing w:val="false"/>
      <w:jc w:val="both"/>
      <w:outlineLvl w:val="0"/>
    </w:pPr>
    <w:rPr>
      <w:caps/>
      <w:sz w:val="28"/>
      <w:szCs w:val="28"/>
      <w:lang w:eastAsia="en-US"/>
    </w:rPr>
  </w:style>
  <w:style w:type="paragraph" w:styleId="NormalWeb">
    <w:name w:val="Normal (Web)"/>
    <w:basedOn w:val="Normal"/>
    <w:qFormat/>
    <w:pPr>
      <w:spacing w:before="280" w:after="280"/>
    </w:pPr>
    <w:rPr>
      <w:sz w:val="24"/>
      <w:szCs w:val="24"/>
    </w:rPr>
  </w:style>
  <w:style w:type="paragraph" w:styleId="Style34">
    <w:name w:val="Таблица текст"/>
    <w:basedOn w:val="Normal"/>
    <w:qFormat/>
    <w:pPr>
      <w:spacing w:before="40" w:after="40"/>
      <w:ind w:left="57" w:right="57" w:hanging="0"/>
    </w:pPr>
    <w:rPr>
      <w:sz w:val="24"/>
      <w:szCs w:val="26"/>
    </w:rPr>
  </w:style>
  <w:style w:type="paragraph" w:styleId="25">
    <w:name w:val="Заголовок 2 КВВ"/>
    <w:basedOn w:val="Normal"/>
    <w:qFormat/>
    <w:pPr>
      <w:keepNext w:val="true"/>
      <w:numPr>
        <w:ilvl w:val="0"/>
        <w:numId w:val="5"/>
      </w:numPr>
      <w:spacing w:before="120" w:after="120"/>
      <w:jc w:val="both"/>
      <w:outlineLvl w:val="0"/>
    </w:pPr>
    <w:rPr>
      <w:b/>
      <w:kern w:val="2"/>
      <w:sz w:val="24"/>
      <w:szCs w:val="20"/>
      <w:lang w:eastAsia="x-none"/>
    </w:rPr>
  </w:style>
  <w:style w:type="paragraph" w:styleId="EndnoteText">
    <w:name w:val="Endnote Text"/>
    <w:basedOn w:val="Normal"/>
    <w:pPr/>
    <w:rPr>
      <w:sz w:val="20"/>
      <w:szCs w:val="20"/>
    </w:rPr>
  </w:style>
  <w:style w:type="paragraph" w:styleId="18">
    <w:name w:val="Стиль Заголовок 1 + по ширине"/>
    <w:basedOn w:val="Heading1"/>
    <w:qFormat/>
    <w:pPr>
      <w:keepLines/>
      <w:tabs>
        <w:tab w:val="clear" w:pos="709"/>
        <w:tab w:val="left" w:pos="567" w:leader="none"/>
      </w:tabs>
      <w:spacing w:before="480" w:after="240"/>
      <w:ind w:left="567" w:right="0" w:hanging="567"/>
      <w:jc w:val="both"/>
    </w:pPr>
    <w:rPr>
      <w:rFonts w:ascii="Arial" w:hAnsi="Arial" w:eastAsia="Times New Roman"/>
      <w:bCs/>
      <w:kern w:val="2"/>
      <w:sz w:val="40"/>
      <w:szCs w:val="20"/>
      <w:lang w:val="ru-RU" w:eastAsia="ru-RU"/>
    </w:rPr>
  </w:style>
  <w:style w:type="paragraph" w:styleId="Style35">
    <w:name w:val="УРОВЕНЬ_Подпись"/>
    <w:basedOn w:val="ListParagraph"/>
    <w:qFormat/>
    <w:pPr>
      <w:keepNext w:val="true"/>
      <w:numPr>
        <w:ilvl w:val="5"/>
        <w:numId w:val="4"/>
      </w:numPr>
      <w:spacing w:lineRule="exact" w:line="360" w:before="120" w:after="120"/>
      <w:contextualSpacing w:val="false"/>
      <w:jc w:val="right"/>
      <w:outlineLvl w:val="3"/>
    </w:pPr>
    <w:rPr>
      <w:sz w:val="26"/>
      <w:szCs w:val="28"/>
      <w:lang w:eastAsia="en-US"/>
    </w:rPr>
  </w:style>
  <w:style w:type="paragraph" w:styleId="34">
    <w:name w:val="УРОВЕНЬ_Абзац_тип3"/>
    <w:basedOn w:val="ListParagraph"/>
    <w:qFormat/>
    <w:pPr>
      <w:numPr>
        <w:ilvl w:val="7"/>
        <w:numId w:val="4"/>
      </w:numPr>
      <w:spacing w:lineRule="exact" w:line="360" w:before="120" w:after="0"/>
      <w:contextualSpacing w:val="false"/>
      <w:jc w:val="both"/>
    </w:pPr>
    <w:rPr>
      <w:sz w:val="26"/>
      <w:szCs w:val="28"/>
      <w:lang w:eastAsia="en-US"/>
    </w:rPr>
  </w:style>
  <w:style w:type="paragraph" w:styleId="26">
    <w:name w:val="УРОВЕНЬ_Абзац_тип2"/>
    <w:basedOn w:val="ListParagraph"/>
    <w:qFormat/>
    <w:pPr>
      <w:numPr>
        <w:ilvl w:val="6"/>
        <w:numId w:val="4"/>
      </w:numPr>
      <w:spacing w:lineRule="exact" w:line="360" w:before="120" w:after="0"/>
      <w:contextualSpacing w:val="false"/>
      <w:jc w:val="both"/>
    </w:pPr>
    <w:rPr>
      <w:sz w:val="26"/>
      <w:szCs w:val="28"/>
      <w:lang w:eastAsia="en-US"/>
    </w:rPr>
  </w:style>
  <w:style w:type="paragraph" w:styleId="-1">
    <w:name w:val="УРОВЕНЬ_-"/>
    <w:basedOn w:val="ListParagraph"/>
    <w:qFormat/>
    <w:pPr>
      <w:numPr>
        <w:ilvl w:val="4"/>
        <w:numId w:val="4"/>
      </w:numPr>
      <w:spacing w:lineRule="exact" w:line="360" w:before="120" w:after="0"/>
      <w:contextualSpacing w:val="false"/>
      <w:jc w:val="both"/>
      <w:outlineLvl w:val="4"/>
    </w:pPr>
    <w:rPr>
      <w:sz w:val="26"/>
      <w:szCs w:val="28"/>
      <w:lang w:eastAsia="en-US"/>
    </w:rPr>
  </w:style>
  <w:style w:type="paragraph" w:styleId="Style36">
    <w:name w:val="УРОВЕНЬ_(а)"/>
    <w:basedOn w:val="ListParagraph"/>
    <w:qFormat/>
    <w:pPr>
      <w:numPr>
        <w:ilvl w:val="3"/>
        <w:numId w:val="4"/>
      </w:numPr>
      <w:spacing w:lineRule="exact" w:line="360" w:before="120" w:after="0"/>
      <w:contextualSpacing w:val="false"/>
      <w:jc w:val="both"/>
      <w:outlineLvl w:val="3"/>
    </w:pPr>
    <w:rPr>
      <w:sz w:val="26"/>
      <w:szCs w:val="28"/>
      <w:lang w:eastAsia="en-US"/>
    </w:rPr>
  </w:style>
  <w:style w:type="paragraph" w:styleId="Style37">
    <w:name w:val="Подподпункт"/>
    <w:basedOn w:val="Style43"/>
    <w:qFormat/>
    <w:pPr>
      <w:tabs>
        <w:tab w:val="clear" w:pos="1134"/>
        <w:tab w:val="left" w:pos="5104" w:leader="none"/>
      </w:tabs>
      <w:snapToGrid w:val="true"/>
      <w:spacing w:lineRule="auto" w:line="240" w:before="120" w:after="0"/>
      <w:ind w:left="5104" w:right="0" w:hanging="567"/>
    </w:pPr>
    <w:rPr>
      <w:sz w:val="26"/>
      <w:szCs w:val="26"/>
      <w:lang w:val="ru-RU" w:eastAsia="ru-RU"/>
    </w:rPr>
  </w:style>
  <w:style w:type="paragraph" w:styleId="Style38">
    <w:name w:val="Таблица шапка"/>
    <w:basedOn w:val="Normal"/>
    <w:qFormat/>
    <w:pPr>
      <w:keepNext w:val="true"/>
      <w:spacing w:before="40" w:after="40"/>
      <w:ind w:left="57" w:right="57" w:hanging="0"/>
    </w:pPr>
    <w:rPr>
      <w:sz w:val="22"/>
      <w:szCs w:val="26"/>
    </w:rPr>
  </w:style>
  <w:style w:type="paragraph" w:styleId="Style39">
    <w:name w:val="Таблица"/>
    <w:basedOn w:val="Normal"/>
    <w:qFormat/>
    <w:pPr>
      <w:keepNext w:val="true"/>
      <w:spacing w:before="60" w:after="60"/>
      <w:jc w:val="center"/>
    </w:pPr>
    <w:rPr>
      <w:rFonts w:eastAsia="Calibri"/>
      <w:b/>
      <w:sz w:val="24"/>
      <w:szCs w:val="24"/>
      <w:lang w:val="x-none" w:eastAsia="x-none"/>
    </w:rPr>
  </w:style>
  <w:style w:type="paragraph" w:styleId="19">
    <w:name w:val="Абзац списка1"/>
    <w:basedOn w:val="Normal"/>
    <w:qFormat/>
    <w:pPr>
      <w:spacing w:lineRule="auto" w:line="276" w:before="0" w:after="200"/>
      <w:ind w:left="720" w:right="0" w:hanging="0"/>
      <w:contextualSpacing/>
    </w:pPr>
    <w:rPr>
      <w:rFonts w:ascii="Calibri" w:hAnsi="Calibri"/>
      <w:sz w:val="22"/>
      <w:szCs w:val="22"/>
      <w:lang w:eastAsia="en-US"/>
    </w:rPr>
  </w:style>
  <w:style w:type="paragraph" w:styleId="Style40">
    <w:name w:val="Пункт"/>
    <w:basedOn w:val="Normal"/>
    <w:qFormat/>
    <w:pPr>
      <w:widowControl w:val="false"/>
      <w:tabs>
        <w:tab w:val="clear" w:pos="709"/>
        <w:tab w:val="left" w:pos="1134" w:leader="none"/>
      </w:tabs>
      <w:spacing w:lineRule="auto" w:line="360" w:before="120" w:after="0"/>
      <w:ind w:left="1134" w:right="800" w:hanging="1134"/>
      <w:jc w:val="both"/>
    </w:pPr>
    <w:rPr>
      <w:rFonts w:ascii="Arial" w:hAnsi="Arial"/>
      <w:b/>
      <w:i/>
      <w:szCs w:val="20"/>
    </w:rPr>
  </w:style>
  <w:style w:type="paragraph" w:styleId="35">
    <w:name w:val="Знак Знак3 Знак Знак"/>
    <w:basedOn w:val="Normal"/>
    <w:qFormat/>
    <w:pPr>
      <w:spacing w:lineRule="exact" w:line="240" w:before="0" w:after="160"/>
      <w:jc w:val="both"/>
    </w:pPr>
    <w:rPr>
      <w:rFonts w:ascii="Verdana" w:hAnsi="Verdana" w:cs="Verdana"/>
      <w:sz w:val="22"/>
      <w:szCs w:val="22"/>
      <w:lang w:val="en-US" w:eastAsia="en-US"/>
    </w:rPr>
  </w:style>
  <w:style w:type="paragraph" w:styleId="27">
    <w:name w:val="Нумерованный список ур2"/>
    <w:basedOn w:val="Normal"/>
    <w:qFormat/>
    <w:pPr>
      <w:numPr>
        <w:ilvl w:val="1"/>
        <w:numId w:val="2"/>
      </w:numPr>
      <w:spacing w:before="120" w:after="0"/>
      <w:jc w:val="both"/>
    </w:pPr>
    <w:rPr>
      <w:rFonts w:ascii="Garamond" w:hAnsi="Garamond"/>
      <w:sz w:val="24"/>
      <w:szCs w:val="20"/>
    </w:rPr>
  </w:style>
  <w:style w:type="paragraph" w:styleId="312">
    <w:name w:val="Список 31"/>
    <w:basedOn w:val="Normal"/>
    <w:qFormat/>
    <w:pPr>
      <w:numPr>
        <w:ilvl w:val="0"/>
        <w:numId w:val="2"/>
      </w:numPr>
      <w:spacing w:before="120" w:after="0"/>
      <w:jc w:val="both"/>
    </w:pPr>
    <w:rPr>
      <w:rFonts w:ascii="Garamond" w:hAnsi="Garamond"/>
      <w:sz w:val="24"/>
      <w:szCs w:val="20"/>
    </w:rPr>
  </w:style>
  <w:style w:type="paragraph" w:styleId="36">
    <w:name w:val="Нумерованный список ур3"/>
    <w:basedOn w:val="Normal"/>
    <w:qFormat/>
    <w:pPr>
      <w:numPr>
        <w:ilvl w:val="2"/>
        <w:numId w:val="2"/>
      </w:numPr>
      <w:jc w:val="both"/>
    </w:pPr>
    <w:rPr>
      <w:rFonts w:ascii="Garamond" w:hAnsi="Garamond"/>
      <w:sz w:val="24"/>
      <w:szCs w:val="20"/>
    </w:rPr>
  </w:style>
  <w:style w:type="paragraph" w:styleId="E-mailSignature">
    <w:name w:val="E-mail Signature"/>
    <w:basedOn w:val="Normal"/>
    <w:qFormat/>
    <w:pPr/>
    <w:rPr>
      <w:rFonts w:eastAsia="Calibri"/>
      <w:sz w:val="24"/>
      <w:szCs w:val="24"/>
      <w:lang w:val="x-none" w:eastAsia="x-none"/>
    </w:rPr>
  </w:style>
  <w:style w:type="paragraph" w:styleId="IndexHeading">
    <w:name w:val="Index Heading"/>
    <w:basedOn w:val="Style22"/>
    <w:pPr>
      <w:suppressLineNumbers/>
      <w:ind w:left="0" w:hanging="0"/>
    </w:pPr>
    <w:rPr>
      <w:b/>
      <w:bCs/>
      <w:sz w:val="32"/>
      <w:szCs w:val="32"/>
    </w:rPr>
  </w:style>
  <w:style w:type="paragraph" w:styleId="TOCHeading">
    <w:name w:val="TOC Heading"/>
    <w:basedOn w:val="Heading1"/>
    <w:next w:val="Normal"/>
    <w:qFormat/>
    <w:pPr>
      <w:keepLines/>
      <w:spacing w:before="480" w:after="60"/>
      <w:outlineLvl w:val="9"/>
    </w:pPr>
    <w:rPr>
      <w:rFonts w:ascii="Cambria" w:hAnsi="Cambria"/>
      <w:bCs/>
      <w:color w:val="365F91"/>
    </w:rPr>
  </w:style>
  <w:style w:type="paragraph" w:styleId="IntenseQuote">
    <w:name w:val="Intense Quote"/>
    <w:basedOn w:val="Normal"/>
    <w:next w:val="Normal"/>
    <w:qFormat/>
    <w:pPr>
      <w:pBdr>
        <w:bottom w:val="single" w:sz="4" w:space="4" w:color="4F81BD"/>
      </w:pBdr>
      <w:spacing w:before="200" w:after="280"/>
      <w:ind w:left="936" w:right="936" w:hanging="0"/>
    </w:pPr>
    <w:rPr>
      <w:rFonts w:ascii="Calibri" w:hAnsi="Calibri" w:eastAsia="Calibri"/>
      <w:b/>
      <w:bCs/>
      <w:i/>
      <w:iCs/>
      <w:color w:val="4F81BD"/>
      <w:sz w:val="20"/>
      <w:szCs w:val="20"/>
      <w:lang w:val="x-none" w:eastAsia="x-none"/>
    </w:rPr>
  </w:style>
  <w:style w:type="paragraph" w:styleId="Quote">
    <w:name w:val="Quote"/>
    <w:basedOn w:val="Normal"/>
    <w:next w:val="Normal"/>
    <w:qFormat/>
    <w:pPr/>
    <w:rPr>
      <w:rFonts w:ascii="Calibri" w:hAnsi="Calibri" w:eastAsia="Calibri"/>
      <w:i/>
      <w:iCs/>
      <w:color w:val="000000"/>
      <w:sz w:val="20"/>
      <w:szCs w:val="20"/>
      <w:lang w:val="x-none" w:eastAsia="x-none"/>
    </w:rPr>
  </w:style>
  <w:style w:type="paragraph" w:styleId="Subtitle">
    <w:name w:val="Subtitle"/>
    <w:basedOn w:val="Normal"/>
    <w:next w:val="Normal"/>
    <w:qFormat/>
    <w:pPr>
      <w:ind w:left="1066" w:right="0" w:firstLine="709"/>
    </w:pPr>
    <w:rPr>
      <w:rFonts w:ascii="Cambria" w:hAnsi="Cambria"/>
      <w:i/>
      <w:iCs/>
      <w:color w:val="4F81BD"/>
      <w:spacing w:val="15"/>
      <w:sz w:val="24"/>
      <w:szCs w:val="24"/>
      <w:lang w:val="x-none" w:eastAsia="x-none"/>
    </w:rPr>
  </w:style>
  <w:style w:type="paragraph" w:styleId="Caption11111111">
    <w:name w:val="caption11111111"/>
    <w:basedOn w:val="Normal"/>
    <w:next w:val="Normal"/>
    <w:qFormat/>
    <w:pPr/>
    <w:rPr>
      <w:rFonts w:eastAsia="Calibri"/>
      <w:b/>
      <w:bCs/>
      <w:color w:val="4F81BD"/>
      <w:sz w:val="18"/>
      <w:szCs w:val="18"/>
    </w:rPr>
  </w:style>
  <w:style w:type="paragraph" w:styleId="NoSpacing">
    <w:name w:val="No Spacing"/>
    <w:basedOn w:val="Normal"/>
    <w:qFormat/>
    <w:pPr>
      <w:spacing w:lineRule="auto" w:line="360"/>
    </w:pPr>
    <w:rPr>
      <w:rFonts w:eastAsia="Calibri"/>
      <w:sz w:val="24"/>
      <w:szCs w:val="24"/>
    </w:rPr>
  </w:style>
  <w:style w:type="paragraph" w:styleId="28">
    <w:name w:val="Раздел положения 2"/>
    <w:basedOn w:val="Normal"/>
    <w:qFormat/>
    <w:pPr>
      <w:pageBreakBefore/>
      <w:numPr>
        <w:ilvl w:val="0"/>
        <w:numId w:val="0"/>
      </w:numPr>
      <w:jc w:val="both"/>
      <w:outlineLvl w:val="0"/>
    </w:pPr>
    <w:rPr>
      <w:b/>
    </w:rPr>
  </w:style>
  <w:style w:type="paragraph" w:styleId="TOC4">
    <w:name w:val="TOC 4"/>
    <w:basedOn w:val="Normal"/>
    <w:next w:val="Normal"/>
    <w:pPr>
      <w:ind w:left="560" w:right="0" w:hanging="0"/>
    </w:pPr>
    <w:rPr>
      <w:rFonts w:cs="Calibri"/>
      <w:sz w:val="20"/>
      <w:szCs w:val="20"/>
    </w:rPr>
  </w:style>
  <w:style w:type="paragraph" w:styleId="TOC5">
    <w:name w:val="TOC 5"/>
    <w:basedOn w:val="Normal"/>
    <w:next w:val="Normal"/>
    <w:pPr>
      <w:ind w:left="840" w:right="0" w:hanging="0"/>
    </w:pPr>
    <w:rPr>
      <w:rFonts w:ascii="Calibri" w:hAnsi="Calibri" w:cs="Calibri"/>
      <w:sz w:val="20"/>
      <w:szCs w:val="20"/>
    </w:rPr>
  </w:style>
  <w:style w:type="paragraph" w:styleId="TOC9">
    <w:name w:val="TOC 9"/>
    <w:basedOn w:val="Normal"/>
    <w:next w:val="Normal"/>
    <w:pPr>
      <w:ind w:left="1960" w:right="0" w:hanging="0"/>
    </w:pPr>
    <w:rPr>
      <w:rFonts w:ascii="Calibri" w:hAnsi="Calibri" w:cs="Calibri"/>
      <w:sz w:val="20"/>
      <w:szCs w:val="20"/>
    </w:rPr>
  </w:style>
  <w:style w:type="paragraph" w:styleId="110">
    <w:name w:val="Обычный (веб)1"/>
    <w:basedOn w:val="Normal"/>
    <w:qFormat/>
    <w:pPr>
      <w:spacing w:before="280" w:after="280"/>
    </w:pPr>
    <w:rPr>
      <w:rFonts w:ascii="Arial Unicode MS" w:hAnsi="Arial Unicode MS" w:eastAsia="Arial Unicode MS" w:cs="Arial Unicode MS"/>
      <w:sz w:val="24"/>
      <w:szCs w:val="24"/>
    </w:rPr>
  </w:style>
  <w:style w:type="paragraph" w:styleId="TOC2">
    <w:name w:val="TOC 2"/>
    <w:basedOn w:val="Normal"/>
    <w:next w:val="Normal"/>
    <w:pPr>
      <w:spacing w:before="240" w:after="0"/>
    </w:pPr>
    <w:rPr>
      <w:rFonts w:cs="Calibri"/>
      <w:b/>
      <w:bCs/>
      <w:sz w:val="20"/>
      <w:szCs w:val="20"/>
    </w:rPr>
  </w:style>
  <w:style w:type="paragraph" w:styleId="Style41">
    <w:name w:val="Приложение к регламенту"/>
    <w:basedOn w:val="Normal"/>
    <w:qFormat/>
    <w:pPr>
      <w:jc w:val="right"/>
    </w:pPr>
    <w:rPr/>
  </w:style>
  <w:style w:type="paragraph" w:styleId="Style42">
    <w:name w:val="Раздел регламента"/>
    <w:basedOn w:val="Normal"/>
    <w:qFormat/>
    <w:pPr/>
    <w:rPr/>
  </w:style>
  <w:style w:type="paragraph" w:styleId="TOC3">
    <w:name w:val="TOC 3"/>
    <w:basedOn w:val="Normal"/>
    <w:next w:val="Normal"/>
    <w:pPr>
      <w:ind w:left="280" w:right="0" w:hanging="0"/>
    </w:pPr>
    <w:rPr>
      <w:rFonts w:cs="Calibri"/>
      <w:sz w:val="20"/>
      <w:szCs w:val="20"/>
    </w:rPr>
  </w:style>
  <w:style w:type="paragraph" w:styleId="TOC1">
    <w:name w:val="TOC 1"/>
    <w:basedOn w:val="Normal"/>
    <w:next w:val="Normal"/>
    <w:pPr>
      <w:spacing w:before="120" w:after="0"/>
    </w:pPr>
    <w:rPr>
      <w:rFonts w:cs="Calibri Light (Заголовки)"/>
      <w:b/>
      <w:bCs/>
      <w:sz w:val="24"/>
      <w:szCs w:val="24"/>
    </w:rPr>
  </w:style>
  <w:style w:type="paragraph" w:styleId="29">
    <w:name w:val="Пункт2"/>
    <w:basedOn w:val="Normal"/>
    <w:qFormat/>
    <w:pPr>
      <w:keepNext w:val="true"/>
      <w:numPr>
        <w:ilvl w:val="0"/>
        <w:numId w:val="0"/>
      </w:numPr>
      <w:tabs>
        <w:tab w:val="clear" w:pos="709"/>
        <w:tab w:val="left" w:pos="1134" w:leader="none"/>
      </w:tabs>
      <w:snapToGrid w:val="false"/>
      <w:spacing w:before="240" w:after="120"/>
      <w:ind w:left="1134" w:right="0" w:hanging="1134"/>
      <w:outlineLvl w:val="2"/>
    </w:pPr>
    <w:rPr>
      <w:b/>
      <w:szCs w:val="20"/>
    </w:rPr>
  </w:style>
  <w:style w:type="paragraph" w:styleId="Style43">
    <w:name w:val="Подпункт"/>
    <w:basedOn w:val="Normal"/>
    <w:qFormat/>
    <w:pPr>
      <w:tabs>
        <w:tab w:val="clear" w:pos="709"/>
        <w:tab w:val="left" w:pos="1134" w:leader="none"/>
      </w:tabs>
      <w:snapToGrid w:val="false"/>
      <w:spacing w:lineRule="auto" w:line="360"/>
      <w:ind w:left="1134" w:right="0" w:hanging="1134"/>
      <w:jc w:val="both"/>
    </w:pPr>
    <w:rPr>
      <w:szCs w:val="20"/>
      <w:lang w:val="x-none" w:eastAsia="x-none"/>
    </w:rPr>
  </w:style>
  <w:style w:type="paragraph" w:styleId="BlockText">
    <w:name w:val="Block Text"/>
    <w:basedOn w:val="Normal"/>
    <w:qFormat/>
    <w:pPr>
      <w:ind w:left="-567" w:right="-766" w:hanging="0"/>
      <w:jc w:val="center"/>
    </w:pPr>
    <w:rPr>
      <w:b/>
      <w:bCs/>
      <w:sz w:val="24"/>
      <w:szCs w:val="20"/>
    </w:rPr>
  </w:style>
  <w:style w:type="paragraph" w:styleId="BodyTextIndent3">
    <w:name w:val="Body Text Indent 3"/>
    <w:basedOn w:val="Normal"/>
    <w:qFormat/>
    <w:pPr>
      <w:spacing w:before="0" w:after="120"/>
      <w:ind w:left="283" w:right="0" w:hanging="0"/>
    </w:pPr>
    <w:rPr>
      <w:sz w:val="16"/>
      <w:szCs w:val="16"/>
    </w:rPr>
  </w:style>
  <w:style w:type="paragraph" w:styleId="111">
    <w:name w:val="Название1"/>
    <w:basedOn w:val="Normal"/>
    <w:qFormat/>
    <w:pPr>
      <w:jc w:val="center"/>
    </w:pPr>
    <w:rPr>
      <w:szCs w:val="20"/>
      <w:lang w:val="x-none" w:eastAsia="x-none"/>
    </w:rPr>
  </w:style>
  <w:style w:type="paragraph" w:styleId="37">
    <w:name w:val="Шапка 3"/>
    <w:basedOn w:val="Normal"/>
    <w:qFormat/>
    <w:pPr>
      <w:pBdr>
        <w:bottom w:val="thickThinSmallGap" w:sz="24" w:space="1" w:color="000000"/>
      </w:pBdr>
      <w:spacing w:before="240" w:after="360"/>
      <w:jc w:val="center"/>
    </w:pPr>
    <w:rPr>
      <w:b/>
      <w:sz w:val="24"/>
      <w:szCs w:val="24"/>
    </w:rPr>
  </w:style>
  <w:style w:type="paragraph" w:styleId="210">
    <w:name w:val="Шапка 2"/>
    <w:basedOn w:val="Normal"/>
    <w:qFormat/>
    <w:pPr>
      <w:pBdr>
        <w:bottom w:val="thickThinSmallGap" w:sz="24" w:space="1" w:color="000000"/>
      </w:pBdr>
      <w:spacing w:before="0" w:after="120"/>
      <w:jc w:val="center"/>
    </w:pPr>
    <w:rPr>
      <w:b/>
      <w:sz w:val="22"/>
      <w:szCs w:val="22"/>
    </w:rPr>
  </w:style>
  <w:style w:type="paragraph" w:styleId="112">
    <w:name w:val="Шапка 1"/>
    <w:basedOn w:val="Normal"/>
    <w:qFormat/>
    <w:pPr>
      <w:pBdr>
        <w:bottom w:val="thickThinSmallGap" w:sz="24" w:space="1" w:color="000000"/>
      </w:pBdr>
      <w:spacing w:before="0" w:after="240"/>
      <w:jc w:val="center"/>
    </w:pPr>
    <w:rPr>
      <w:sz w:val="22"/>
      <w:szCs w:val="22"/>
    </w:rPr>
  </w:style>
  <w:style w:type="paragraph" w:styleId="Style44">
    <w:name w:val="Подраздел раздела положения"/>
    <w:basedOn w:val="Normal"/>
    <w:qFormat/>
    <w:pPr>
      <w:numPr>
        <w:ilvl w:val="1"/>
        <w:numId w:val="1"/>
      </w:numPr>
      <w:spacing w:before="80" w:after="80"/>
      <w:jc w:val="both"/>
    </w:pPr>
    <w:rPr/>
  </w:style>
  <w:style w:type="paragraph" w:styleId="Style45">
    <w:name w:val="Раздел положения"/>
    <w:basedOn w:val="Normal"/>
    <w:qFormat/>
    <w:pPr>
      <w:numPr>
        <w:ilvl w:val="0"/>
        <w:numId w:val="1"/>
      </w:numPr>
      <w:spacing w:before="80" w:after="80"/>
      <w:jc w:val="center"/>
    </w:pPr>
    <w:rPr>
      <w:b/>
      <w:sz w:val="32"/>
      <w:szCs w:val="32"/>
    </w:rPr>
  </w:style>
  <w:style w:type="paragraph" w:styleId="Style46">
    <w:name w:val="Название раздела инструкции"/>
    <w:basedOn w:val="Normal"/>
    <w:qFormat/>
    <w:pPr>
      <w:jc w:val="center"/>
    </w:pPr>
    <w:rPr>
      <w:b/>
    </w:rPr>
  </w:style>
  <w:style w:type="paragraph" w:styleId="Indexheading1111111">
    <w:name w:val="index heading1111111"/>
    <w:basedOn w:val="Title"/>
    <w:qFormat/>
    <w:pPr/>
    <w:rPr/>
  </w:style>
  <w:style w:type="paragraph" w:styleId="Caption1111111">
    <w:name w:val="caption1111111"/>
    <w:basedOn w:val="Normal"/>
    <w:qFormat/>
    <w:pPr>
      <w:suppressLineNumbers/>
      <w:spacing w:before="120" w:after="120"/>
    </w:pPr>
    <w:rPr>
      <w:i/>
      <w:iCs/>
      <w:sz w:val="24"/>
      <w:szCs w:val="24"/>
    </w:rPr>
  </w:style>
  <w:style w:type="paragraph" w:styleId="Indexheading111111">
    <w:name w:val="index heading111111"/>
    <w:basedOn w:val="Title"/>
    <w:qFormat/>
    <w:pPr/>
    <w:rPr/>
  </w:style>
  <w:style w:type="paragraph" w:styleId="Caption111111">
    <w:name w:val="caption111111"/>
    <w:basedOn w:val="Normal"/>
    <w:qFormat/>
    <w:pPr>
      <w:suppressLineNumbers/>
      <w:spacing w:before="120" w:after="120"/>
    </w:pPr>
    <w:rPr>
      <w:i/>
      <w:iCs/>
      <w:sz w:val="24"/>
      <w:szCs w:val="24"/>
    </w:rPr>
  </w:style>
  <w:style w:type="paragraph" w:styleId="Indexheading11111">
    <w:name w:val="index heading11111"/>
    <w:basedOn w:val="Title"/>
    <w:qFormat/>
    <w:pPr/>
    <w:rPr/>
  </w:style>
  <w:style w:type="paragraph" w:styleId="Caption11111">
    <w:name w:val="caption11111"/>
    <w:basedOn w:val="Normal"/>
    <w:qFormat/>
    <w:pPr>
      <w:suppressLineNumbers/>
      <w:spacing w:before="120" w:after="120"/>
    </w:pPr>
    <w:rPr>
      <w:i/>
      <w:iCs/>
      <w:sz w:val="24"/>
      <w:szCs w:val="24"/>
    </w:rPr>
  </w:style>
  <w:style w:type="paragraph" w:styleId="Indexheading1111">
    <w:name w:val="index heading1111"/>
    <w:basedOn w:val="Title"/>
    <w:qFormat/>
    <w:pPr/>
    <w:rPr/>
  </w:style>
  <w:style w:type="paragraph" w:styleId="Caption1111">
    <w:name w:val="caption1111"/>
    <w:basedOn w:val="Normal"/>
    <w:qFormat/>
    <w:pPr>
      <w:suppressLineNumbers/>
      <w:spacing w:before="120" w:after="120"/>
    </w:pPr>
    <w:rPr>
      <w:i/>
      <w:iCs/>
      <w:sz w:val="24"/>
      <w:szCs w:val="24"/>
    </w:rPr>
  </w:style>
  <w:style w:type="paragraph" w:styleId="Indexheading111">
    <w:name w:val="index heading111"/>
    <w:basedOn w:val="Title"/>
    <w:qFormat/>
    <w:pPr/>
    <w:rPr/>
  </w:style>
  <w:style w:type="paragraph" w:styleId="Caption111">
    <w:name w:val="caption111"/>
    <w:basedOn w:val="Normal"/>
    <w:qFormat/>
    <w:pPr>
      <w:suppressLineNumbers/>
      <w:spacing w:before="120" w:after="120"/>
    </w:pPr>
    <w:rPr>
      <w:i/>
      <w:iCs/>
      <w:sz w:val="24"/>
      <w:szCs w:val="24"/>
    </w:rPr>
  </w:style>
  <w:style w:type="paragraph" w:styleId="Indexheading11">
    <w:name w:val="index heading11"/>
    <w:basedOn w:val="Title"/>
    <w:qFormat/>
    <w:pPr/>
    <w:rPr/>
  </w:style>
  <w:style w:type="paragraph" w:styleId="Indexheading12">
    <w:name w:val="index heading12"/>
    <w:basedOn w:val="Title"/>
    <w:qFormat/>
    <w:pPr/>
    <w:rPr/>
  </w:style>
  <w:style w:type="numbering" w:styleId="NoList" w:default="1">
    <w:name w:val="No List"/>
    <w:uiPriority w:val="99"/>
    <w:semiHidden/>
    <w:unhideWhenUsed/>
    <w:qFormat/>
  </w:style>
  <w:style w:type="numbering" w:styleId="113">
    <w:name w:val="Стиль1"/>
    <w:qFormat/>
  </w:style>
  <w:style w:type="numbering" w:styleId="211">
    <w:name w:val="Стиль2"/>
    <w:qFormat/>
  </w:style>
  <w:style w:type="table" w:default="1" w:styleId="a1">
    <w:name w:val="Normal Table"/>
    <w:uiPriority w:val="99"/>
    <w:semiHidden/>
    <w:unhideWhenUsed/>
    <w:tblPr>
      <w:tblCellMar>
        <w:top w:w="0" w:type="dxa"/>
        <w:left w:w="108" w:type="dxa"/>
        <w:bottom w:w="0" w:type="dxa"/>
        <w:right w:w="108" w:type="dxa"/>
      </w:tblCellMar>
    </w:tblPr>
  </w:style>
  <w:style w:type="table" w:styleId="affc">
    <w:name w:val="Table Grid"/>
    <w:basedOn w:val="a1"/>
    <w:rsid w:val="00886f70"/>
    <w:rPr>
      <w:lang w:eastAsia="ru-RU"/>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s://login.consultant.ru/link/?req=doc&amp;base=PBI&amp;n=199978" TargetMode="External"/><Relationship Id="rId3" Type="http://schemas.openxmlformats.org/officeDocument/2006/relationships/hyperlink" Target="https://login.consultant.ru/link/?req=doc&amp;base=PBI&amp;n=37584&amp;dst=100032" TargetMode="External"/><Relationship Id="rId4" Type="http://schemas.openxmlformats.org/officeDocument/2006/relationships/hyperlink" Target="consultantplus://offline/ref=94D5CE8889791A29DE57299515463A9D6134D8237B999C803E6F853513x2A2P" TargetMode="External"/><Relationship Id="rId5" Type="http://schemas.openxmlformats.org/officeDocument/2006/relationships/hyperlink" Target="consultantplus://offline/ref=94D5CE8889791A29DE57299515463A9D6135D2287D929C803E6F853513x2A2P" TargetMode="External"/><Relationship Id="rId6" Type="http://schemas.openxmlformats.org/officeDocument/2006/relationships/hyperlink" Target="consultantplus://offline/ref=79440D5123ABA6A25F43346AB59DBAAC7032C8E1556DA64FAED62E167F76889C2B7C475C32EFC59BJ8rDH" TargetMode="External"/><Relationship Id="rId7" Type="http://schemas.openxmlformats.org/officeDocument/2006/relationships/header" Target="header1.xml"/><Relationship Id="rId8" Type="http://schemas.openxmlformats.org/officeDocument/2006/relationships/header" Target="header2.xml"/><Relationship Id="rId9" Type="http://schemas.openxmlformats.org/officeDocument/2006/relationships/footer" Target="footer1.xml"/><Relationship Id="rId10" Type="http://schemas.openxmlformats.org/officeDocument/2006/relationships/header" Target="header3.xml"/><Relationship Id="rId11" Type="http://schemas.openxmlformats.org/officeDocument/2006/relationships/header" Target="header4.xml"/><Relationship Id="rId12" Type="http://schemas.openxmlformats.org/officeDocument/2006/relationships/footer" Target="footer2.xml"/><Relationship Id="rId13" Type="http://schemas.openxmlformats.org/officeDocument/2006/relationships/footer" Target="footer3.xml"/><Relationship Id="rId14" Type="http://schemas.openxmlformats.org/officeDocument/2006/relationships/footnotes" Target="footnotes.xml"/><Relationship Id="rId15" Type="http://schemas.openxmlformats.org/officeDocument/2006/relationships/numbering" Target="numbering.xml"/><Relationship Id="rId16" Type="http://schemas.openxmlformats.org/officeDocument/2006/relationships/fontTable" Target="fontTable.xml"/><Relationship Id="rId17" Type="http://schemas.openxmlformats.org/officeDocument/2006/relationships/settings" Target="settings.xml"/><Relationship Id="rId18" Type="http://schemas.openxmlformats.org/officeDocument/2006/relationships/theme" Target="theme/theme1.xml"/><Relationship Id="rId19" Type="http://schemas.openxmlformats.org/officeDocument/2006/relationships/customXml" Target="../customXml/item1.xml"/><Relationship Id="rId20" Type="http://schemas.openxmlformats.org/officeDocument/2006/relationships/customXml" Target="../customXml/item2.xml"/><Relationship Id="rId21" Type="http://schemas.openxmlformats.org/officeDocument/2006/relationships/customXml" Target="../customXml/item3.xml"/><Relationship Id="rId22" Type="http://schemas.openxmlformats.org/officeDocument/2006/relationships/customXml" Target="../customXml/item4.xml"/>
</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_rels/item2.xml.rels><?xml version="1.0" encoding="UTF-8"?>
<Relationships xmlns="http://schemas.openxmlformats.org/package/2006/relationships"><Relationship Id="rId1" Type="http://schemas.openxmlformats.org/officeDocument/2006/relationships/customXmlProps" Target="itemProps2.xml"/>
</Relationships>
</file>

<file path=customXml/_rels/item3.xml.rels><?xml version="1.0" encoding="UTF-8"?>
<Relationships xmlns="http://schemas.openxmlformats.org/package/2006/relationships"><Relationship Id="rId1" Type="http://schemas.openxmlformats.org/officeDocument/2006/relationships/customXmlProps" Target="itemProps3.xml"/>
</Relationships>
</file>

<file path=customXml/_rels/item4.xml.rels><?xml version="1.0" encoding="UTF-8"?>
<Relationships xmlns="http://schemas.openxmlformats.org/package/2006/relationships"><Relationship Id="rId1" Type="http://schemas.openxmlformats.org/officeDocument/2006/relationships/customXmlProps" Target="itemProps4.xml"/>
</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B29469-CEFB-4C63-A023-2AFB44A96B18}">
  <ds:schemaRefs>
    <ds:schemaRef ds:uri="http://schemas.microsoft.com/sharepoint/v3/contenttype/forms"/>
  </ds:schemaRefs>
</ds:datastoreItem>
</file>

<file path=customXml/itemProps2.xml><?xml version="1.0" encoding="utf-8"?>
<ds:datastoreItem xmlns:ds="http://schemas.openxmlformats.org/officeDocument/2006/customXml" ds:itemID="{95CAEEA5-E2B6-4B76-A826-4F29FF9531A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76085CE-3EE5-4257-A854-521088406C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504BA3F3-68BB-444D-85B0-20D2FFA39B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735</TotalTime>
  <Application>AlterOffice/3.4.0.9$Linux_X86_64 LibreOffice_project/b8daf9e823b1a5463a2f48435ddc2e8696e7d4fc</Application>
  <AppVersion>15.0000</AppVersion>
  <Pages>19</Pages>
  <Words>7005</Words>
  <Characters>49902</Characters>
  <CharactersWithSpaces>56798</CharactersWithSpaces>
  <Paragraphs>342</Paragraphs>
  <Company>РусГидро</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2024-03-15T06:11:00Z</dcterms:created>
  <dc:creator>Быстрова Дарья Андреевна</dc:creator>
  <dc:description/>
  <dc:language>ru-RU</dc:language>
  <cp:lastModifiedBy>shvalyukee@corp.gidroogk.com</cp:lastModifiedBy>
  <dcterms:modified xsi:type="dcterms:W3CDTF">2026-06-19T12:18:08Z</dcterms:modified>
  <cp:revision>51</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arkAsFinal">
    <vt:bool>1</vt:bool>
  </property>
</Properties>
</file>